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2CA9D" w14:textId="77777777" w:rsidR="006D52C9" w:rsidRPr="00863B82" w:rsidRDefault="006D52C9" w:rsidP="0085624E">
      <w:pPr>
        <w:bidi w:val="0"/>
        <w:spacing w:before="240" w:after="0"/>
        <w:jc w:val="lowKashida"/>
        <w:rPr>
          <w:rFonts w:ascii="Sakkal Majalla" w:hAnsi="Sakkal Majalla" w:cs="Sakkal Majalla"/>
          <w:sz w:val="32"/>
          <w:szCs w:val="32"/>
        </w:rPr>
      </w:pPr>
    </w:p>
    <w:p w14:paraId="06E87683" w14:textId="77777777" w:rsidR="00A945EB" w:rsidRPr="00863B82" w:rsidRDefault="00A945EB" w:rsidP="0085624E">
      <w:pPr>
        <w:bidi w:val="0"/>
        <w:spacing w:before="240" w:after="0"/>
        <w:jc w:val="lowKashida"/>
        <w:rPr>
          <w:rFonts w:ascii="Sakkal Majalla" w:hAnsi="Sakkal Majalla" w:cs="Sakkal Majalla"/>
          <w:sz w:val="32"/>
          <w:szCs w:val="32"/>
        </w:rPr>
      </w:pPr>
    </w:p>
    <w:p w14:paraId="59E92F82" w14:textId="77777777" w:rsidR="00A945EB" w:rsidRPr="00863B82" w:rsidRDefault="00A945EB" w:rsidP="0085624E">
      <w:pPr>
        <w:bidi w:val="0"/>
        <w:spacing w:before="240" w:after="0"/>
        <w:jc w:val="lowKashida"/>
        <w:rPr>
          <w:rFonts w:ascii="Sakkal Majalla" w:hAnsi="Sakkal Majalla" w:cs="Sakkal Majalla"/>
          <w:sz w:val="32"/>
          <w:szCs w:val="32"/>
        </w:rPr>
      </w:pPr>
    </w:p>
    <w:p w14:paraId="14B93464" w14:textId="77777777" w:rsidR="00A945EB" w:rsidRPr="00863B82" w:rsidRDefault="00A945EB" w:rsidP="0085624E">
      <w:pPr>
        <w:bidi w:val="0"/>
        <w:spacing w:before="240" w:after="0"/>
        <w:jc w:val="lowKashida"/>
        <w:rPr>
          <w:rFonts w:ascii="Sakkal Majalla" w:hAnsi="Sakkal Majalla" w:cs="Sakkal Majalla"/>
          <w:sz w:val="32"/>
          <w:szCs w:val="32"/>
        </w:rPr>
      </w:pPr>
    </w:p>
    <w:p w14:paraId="06ED064B" w14:textId="77777777" w:rsidR="00A945EB" w:rsidRPr="00863B82" w:rsidRDefault="00A945EB" w:rsidP="0085624E">
      <w:pPr>
        <w:bidi w:val="0"/>
        <w:spacing w:before="240" w:after="0"/>
        <w:jc w:val="lowKashida"/>
        <w:rPr>
          <w:rFonts w:ascii="Sakkal Majalla" w:hAnsi="Sakkal Majalla" w:cs="Sakkal Majalla"/>
          <w:sz w:val="32"/>
          <w:szCs w:val="32"/>
        </w:rPr>
      </w:pPr>
    </w:p>
    <w:p w14:paraId="695B615C" w14:textId="77777777" w:rsidR="00A945EB" w:rsidRPr="00863B82" w:rsidRDefault="00A945EB" w:rsidP="0085624E">
      <w:pPr>
        <w:bidi w:val="0"/>
        <w:spacing w:before="240" w:after="0"/>
        <w:jc w:val="lowKashida"/>
        <w:rPr>
          <w:rFonts w:ascii="Sakkal Majalla" w:hAnsi="Sakkal Majalla" w:cs="Sakkal Majalla"/>
          <w:sz w:val="32"/>
          <w:szCs w:val="32"/>
        </w:rPr>
      </w:pPr>
    </w:p>
    <w:p w14:paraId="64AA686A" w14:textId="7811FEB4" w:rsidR="00A945EB" w:rsidRPr="00863B82" w:rsidRDefault="00A945EB" w:rsidP="00863B82">
      <w:pPr>
        <w:pBdr>
          <w:top w:val="single" w:sz="4" w:space="1" w:color="auto" w:shadow="1"/>
          <w:left w:val="single" w:sz="4" w:space="4" w:color="auto" w:shadow="1"/>
          <w:bottom w:val="single" w:sz="4" w:space="1" w:color="auto" w:shadow="1"/>
          <w:right w:val="single" w:sz="4" w:space="4" w:color="auto" w:shadow="1"/>
        </w:pBdr>
        <w:shd w:val="pct10" w:color="auto" w:fill="auto"/>
        <w:bidi w:val="0"/>
        <w:spacing w:before="240" w:after="0"/>
        <w:jc w:val="center"/>
        <w:rPr>
          <w:rFonts w:ascii="Sakkal Majalla" w:hAnsi="Sakkal Majalla" w:cs="Sakkal Majalla"/>
          <w:b/>
          <w:bCs/>
          <w:sz w:val="32"/>
          <w:szCs w:val="32"/>
        </w:rPr>
      </w:pPr>
      <w:r w:rsidRPr="00A945EB">
        <w:rPr>
          <w:rFonts w:ascii="Sakkal Majalla" w:hAnsi="Sakkal Majalla" w:cs="Sakkal Majalla"/>
          <w:b/>
          <w:bCs/>
          <w:sz w:val="32"/>
          <w:szCs w:val="32"/>
        </w:rPr>
        <w:t>Kingdom of Bahrain’s response to Committee Against Torture</w:t>
      </w:r>
      <w:r w:rsidRPr="00863B82">
        <w:rPr>
          <w:rFonts w:ascii="Sakkal Majalla" w:hAnsi="Sakkal Majalla" w:cs="Sakkal Majalla"/>
          <w:b/>
          <w:bCs/>
          <w:sz w:val="32"/>
          <w:szCs w:val="32"/>
        </w:rPr>
        <w:br/>
        <w:t>Fourth P</w:t>
      </w:r>
      <w:r w:rsidRPr="00A945EB">
        <w:rPr>
          <w:rFonts w:ascii="Sakkal Majalla" w:hAnsi="Sakkal Majalla" w:cs="Sakkal Majalla"/>
          <w:b/>
          <w:bCs/>
          <w:sz w:val="32"/>
          <w:szCs w:val="32"/>
        </w:rPr>
        <w:t xml:space="preserve">eriodic </w:t>
      </w:r>
      <w:r w:rsidRPr="00863B82">
        <w:rPr>
          <w:rFonts w:ascii="Sakkal Majalla" w:hAnsi="Sakkal Majalla" w:cs="Sakkal Majalla"/>
          <w:b/>
          <w:bCs/>
          <w:sz w:val="32"/>
          <w:szCs w:val="32"/>
        </w:rPr>
        <w:t>Report</w:t>
      </w:r>
    </w:p>
    <w:p w14:paraId="75E13795" w14:textId="16AB797E" w:rsidR="00A945EB" w:rsidRPr="00A945EB" w:rsidRDefault="00A945EB" w:rsidP="00863B82">
      <w:pPr>
        <w:pBdr>
          <w:top w:val="single" w:sz="4" w:space="1" w:color="auto" w:shadow="1"/>
          <w:left w:val="single" w:sz="4" w:space="4" w:color="auto" w:shadow="1"/>
          <w:bottom w:val="single" w:sz="4" w:space="1" w:color="auto" w:shadow="1"/>
          <w:right w:val="single" w:sz="4" w:space="4" w:color="auto" w:shadow="1"/>
        </w:pBdr>
        <w:shd w:val="pct10" w:color="auto" w:fill="auto"/>
        <w:bidi w:val="0"/>
        <w:spacing w:before="240" w:after="0"/>
        <w:jc w:val="center"/>
        <w:rPr>
          <w:rFonts w:ascii="Sakkal Majalla" w:hAnsi="Sakkal Majalla" w:cs="Sakkal Majalla"/>
          <w:sz w:val="32"/>
          <w:szCs w:val="32"/>
        </w:rPr>
      </w:pPr>
      <w:r w:rsidRPr="00863B82">
        <w:rPr>
          <w:rFonts w:ascii="Sakkal Majalla" w:hAnsi="Sakkal Majalla" w:cs="Sakkal Majalla"/>
          <w:b/>
          <w:bCs/>
          <w:sz w:val="32"/>
          <w:szCs w:val="32"/>
        </w:rPr>
        <w:t>Geneva – 18 – 19 November 2025</w:t>
      </w:r>
    </w:p>
    <w:p w14:paraId="76E1F58B" w14:textId="77777777" w:rsidR="00A945EB" w:rsidRPr="00863B82" w:rsidRDefault="00A945EB" w:rsidP="0085624E">
      <w:pPr>
        <w:bidi w:val="0"/>
        <w:spacing w:before="240" w:after="0"/>
        <w:jc w:val="lowKashida"/>
        <w:rPr>
          <w:rFonts w:ascii="Sakkal Majalla" w:hAnsi="Sakkal Majalla" w:cs="Sakkal Majalla"/>
          <w:sz w:val="32"/>
          <w:szCs w:val="32"/>
        </w:rPr>
      </w:pPr>
    </w:p>
    <w:p w14:paraId="54C686D7" w14:textId="77777777" w:rsidR="00A945EB" w:rsidRPr="00863B82" w:rsidRDefault="00A945EB" w:rsidP="0085624E">
      <w:pPr>
        <w:bidi w:val="0"/>
        <w:spacing w:before="240" w:after="0"/>
        <w:jc w:val="lowKashida"/>
        <w:rPr>
          <w:rFonts w:ascii="Sakkal Majalla" w:hAnsi="Sakkal Majalla" w:cs="Sakkal Majalla"/>
          <w:sz w:val="32"/>
          <w:szCs w:val="32"/>
        </w:rPr>
      </w:pPr>
    </w:p>
    <w:p w14:paraId="4C647216" w14:textId="77777777" w:rsidR="00A945EB" w:rsidRDefault="00A945EB" w:rsidP="0085624E">
      <w:pPr>
        <w:bidi w:val="0"/>
        <w:spacing w:before="240" w:after="0"/>
        <w:jc w:val="lowKashida"/>
        <w:rPr>
          <w:rFonts w:ascii="Sakkal Majalla" w:hAnsi="Sakkal Majalla" w:cs="Sakkal Majalla"/>
          <w:sz w:val="32"/>
          <w:szCs w:val="32"/>
        </w:rPr>
      </w:pPr>
    </w:p>
    <w:p w14:paraId="04A56A60" w14:textId="77777777" w:rsidR="00863B82" w:rsidRPr="00863B82" w:rsidRDefault="00863B82" w:rsidP="00863B82">
      <w:pPr>
        <w:bidi w:val="0"/>
        <w:spacing w:before="240" w:after="0"/>
        <w:jc w:val="lowKashida"/>
        <w:rPr>
          <w:rFonts w:ascii="Sakkal Majalla" w:hAnsi="Sakkal Majalla" w:cs="Sakkal Majalla"/>
          <w:sz w:val="32"/>
          <w:szCs w:val="32"/>
        </w:rPr>
      </w:pPr>
    </w:p>
    <w:p w14:paraId="097B0E6E" w14:textId="77777777" w:rsidR="00A945EB" w:rsidRPr="00863B82" w:rsidRDefault="00A945EB" w:rsidP="0085624E">
      <w:pPr>
        <w:bidi w:val="0"/>
        <w:spacing w:before="240" w:after="0"/>
        <w:jc w:val="lowKashida"/>
        <w:rPr>
          <w:rFonts w:ascii="Sakkal Majalla" w:hAnsi="Sakkal Majalla" w:cs="Sakkal Majalla"/>
          <w:sz w:val="32"/>
          <w:szCs w:val="32"/>
        </w:rPr>
      </w:pPr>
    </w:p>
    <w:p w14:paraId="06FBE77C" w14:textId="77777777" w:rsidR="00A945EB" w:rsidRPr="00863B82" w:rsidRDefault="00A945EB" w:rsidP="0085624E">
      <w:pPr>
        <w:bidi w:val="0"/>
        <w:spacing w:before="240" w:after="0"/>
        <w:jc w:val="lowKashida"/>
        <w:rPr>
          <w:rFonts w:ascii="Sakkal Majalla" w:hAnsi="Sakkal Majalla" w:cs="Sakkal Majalla"/>
          <w:sz w:val="32"/>
          <w:szCs w:val="32"/>
        </w:rPr>
      </w:pPr>
    </w:p>
    <w:p w14:paraId="62AAD947" w14:textId="77777777" w:rsidR="00EE66D5" w:rsidRPr="00863B82" w:rsidRDefault="00EE66D5" w:rsidP="0085624E">
      <w:pPr>
        <w:bidi w:val="0"/>
        <w:spacing w:before="240" w:after="0"/>
        <w:jc w:val="lowKashida"/>
        <w:rPr>
          <w:rFonts w:ascii="Sakkal Majalla" w:hAnsi="Sakkal Majalla" w:cs="Sakkal Majalla"/>
          <w:sz w:val="32"/>
          <w:szCs w:val="32"/>
        </w:rPr>
      </w:pPr>
    </w:p>
    <w:p w14:paraId="5413534E" w14:textId="77777777" w:rsidR="00D05CED" w:rsidRPr="00863B82" w:rsidRDefault="00D05CED" w:rsidP="0085624E">
      <w:pPr>
        <w:bidi w:val="0"/>
        <w:spacing w:before="240" w:after="0"/>
        <w:jc w:val="lowKashida"/>
        <w:rPr>
          <w:rFonts w:ascii="Sakkal Majalla" w:hAnsi="Sakkal Majalla" w:cs="Sakkal Majalla"/>
          <w:sz w:val="32"/>
          <w:szCs w:val="32"/>
        </w:rPr>
      </w:pPr>
    </w:p>
    <w:p w14:paraId="45A77EBB" w14:textId="112DC3BC" w:rsidR="00A945EB" w:rsidRPr="00863B82" w:rsidRDefault="00A945EB" w:rsidP="0085624E">
      <w:pPr>
        <w:bidi w:val="0"/>
        <w:spacing w:before="240" w:after="0"/>
        <w:jc w:val="lowKashida"/>
        <w:rPr>
          <w:rFonts w:ascii="Sakkal Majalla" w:hAnsi="Sakkal Majalla" w:cs="Sakkal Majalla"/>
          <w:b/>
          <w:bCs/>
          <w:sz w:val="32"/>
          <w:szCs w:val="32"/>
        </w:rPr>
      </w:pPr>
      <w:r w:rsidRPr="00863B82">
        <w:rPr>
          <w:rFonts w:ascii="Sakkal Majalla" w:hAnsi="Sakkal Majalla" w:cs="Sakkal Majalla"/>
          <w:b/>
          <w:bCs/>
          <w:sz w:val="32"/>
          <w:szCs w:val="32"/>
        </w:rPr>
        <w:lastRenderedPageBreak/>
        <w:t>Kingdom of Bahrain's response to the Committee against Torture – 18-19 November 2025</w:t>
      </w:r>
    </w:p>
    <w:p w14:paraId="4BFFE73E" w14:textId="7C9FCE30" w:rsidR="00A945EB" w:rsidRPr="00863B82" w:rsidRDefault="00A945EB"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delegation of the Kingdom of Bahrain was pleased to meet on Tuesday and Wednesday, 18-19 of November 2025, with the esteemed Committee against Torture, to review the fourth report (2021) that the Kingdom had previously submitted to the Committee, reflecting its belief in the importance of constructive dialogue, international cooperation, exchange of expertise, and the development of human rights practices in accordance with international standards, and in a way that promotes respect for human dignity, a value enshrined in the Constitution of the Kingdom of Bahrain as a fundamental principle of governance.</w:t>
      </w:r>
    </w:p>
    <w:p w14:paraId="6515FBF2" w14:textId="6069AA6E" w:rsidR="00A945EB" w:rsidRPr="00863B82" w:rsidRDefault="00A945EB"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participation of the Kingdom of Bahrain’s delegation in this meeting comes within the framework of a broad set of legislative, judicial, and institutional reforms implemented by Bahrain over the past years. These reforms have contributed to building an advanced protection system grounded in the prevention of torture, strict accountability, strengthened oversight, the development of justice mechanisms, the expansion of alternative sentencing, the combating of trafficking in persons, and the protection of children.</w:t>
      </w:r>
    </w:p>
    <w:p w14:paraId="63A7DC7F" w14:textId="77777777" w:rsidR="00A945EB" w:rsidRPr="00863B82" w:rsidRDefault="00A945EB" w:rsidP="0085624E">
      <w:pPr>
        <w:bidi w:val="0"/>
        <w:spacing w:before="240" w:after="0"/>
        <w:jc w:val="lowKashida"/>
        <w:rPr>
          <w:rFonts w:ascii="Sakkal Majalla" w:hAnsi="Sakkal Majalla" w:cs="Sakkal Majalla"/>
          <w:sz w:val="32"/>
          <w:szCs w:val="32"/>
        </w:rPr>
      </w:pPr>
      <w:r w:rsidRPr="00A945EB">
        <w:rPr>
          <w:rFonts w:ascii="Sakkal Majalla" w:hAnsi="Sakkal Majalla" w:cs="Sakkal Majalla"/>
          <w:sz w:val="32"/>
          <w:szCs w:val="32"/>
        </w:rPr>
        <w:t xml:space="preserve">In this context, the Kingdom of Bahrain presents its response to the remarks made by the esteemed Chair and Members of the Committee, as well as to the various issues, topics, and inquiries raised in their interventions. These may be grouped into </w:t>
      </w:r>
      <w:proofErr w:type="gramStart"/>
      <w:r w:rsidRPr="00A945EB">
        <w:rPr>
          <w:rFonts w:ascii="Sakkal Majalla" w:hAnsi="Sakkal Majalla" w:cs="Sakkal Majalla"/>
          <w:sz w:val="32"/>
          <w:szCs w:val="32"/>
        </w:rPr>
        <w:t>a number of</w:t>
      </w:r>
      <w:proofErr w:type="gramEnd"/>
      <w:r w:rsidRPr="00A945EB">
        <w:rPr>
          <w:rFonts w:ascii="Sakkal Majalla" w:hAnsi="Sakkal Majalla" w:cs="Sakkal Majalla"/>
          <w:sz w:val="32"/>
          <w:szCs w:val="32"/>
        </w:rPr>
        <w:t xml:space="preserve"> main themes, as follows:</w:t>
      </w:r>
    </w:p>
    <w:p w14:paraId="06DFD830" w14:textId="4E6EF768" w:rsidR="00A945EB" w:rsidRPr="00A945EB" w:rsidRDefault="00DD1A11"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863B82">
        <w:rPr>
          <w:rFonts w:ascii="Sakkal Majalla" w:hAnsi="Sakkal Majalla" w:cs="Sakkal Majalla"/>
          <w:b/>
          <w:bCs/>
          <w:sz w:val="32"/>
          <w:szCs w:val="32"/>
        </w:rPr>
        <w:t>Topic</w:t>
      </w:r>
      <w:r w:rsidR="000313D8" w:rsidRPr="00863B82">
        <w:rPr>
          <w:rFonts w:ascii="Sakkal Majalla" w:hAnsi="Sakkal Majalla" w:cs="Sakkal Majalla"/>
          <w:b/>
          <w:bCs/>
          <w:sz w:val="32"/>
          <w:szCs w:val="32"/>
        </w:rPr>
        <w:t xml:space="preserve"> 1</w:t>
      </w:r>
      <w:r w:rsidR="00A945EB" w:rsidRPr="00A945EB">
        <w:rPr>
          <w:rFonts w:ascii="Sakkal Majalla" w:hAnsi="Sakkal Majalla" w:cs="Sakkal Majalla"/>
          <w:b/>
          <w:bCs/>
          <w:sz w:val="32"/>
          <w:szCs w:val="32"/>
        </w:rPr>
        <w:t>: The Constitutional and Legal Framework for the Absolute Prohibition of Torture</w:t>
      </w:r>
    </w:p>
    <w:p w14:paraId="0CF8E127" w14:textId="77777777" w:rsidR="00A945EB" w:rsidRPr="00A945EB" w:rsidRDefault="00A945EB" w:rsidP="0085624E">
      <w:pPr>
        <w:bidi w:val="0"/>
        <w:spacing w:before="240" w:after="0"/>
        <w:jc w:val="lowKashida"/>
        <w:rPr>
          <w:rFonts w:ascii="Sakkal Majalla" w:hAnsi="Sakkal Majalla" w:cs="Sakkal Majalla"/>
          <w:sz w:val="32"/>
          <w:szCs w:val="32"/>
        </w:rPr>
      </w:pPr>
      <w:r w:rsidRPr="00A945EB">
        <w:rPr>
          <w:rFonts w:ascii="Sakkal Majalla" w:hAnsi="Sakkal Majalla" w:cs="Sakkal Majalla"/>
          <w:sz w:val="32"/>
          <w:szCs w:val="32"/>
        </w:rPr>
        <w:t xml:space="preserve">Driven by the Kingdom of Bahrain’s firm commitment to protecting human rights and strengthening safeguards within the criminal justice system, the national legislative framework </w:t>
      </w:r>
      <w:r w:rsidRPr="00A945EB">
        <w:rPr>
          <w:rFonts w:ascii="Sakkal Majalla" w:hAnsi="Sakkal Majalla" w:cs="Sakkal Majalla"/>
          <w:sz w:val="32"/>
          <w:szCs w:val="32"/>
        </w:rPr>
        <w:lastRenderedPageBreak/>
        <w:t>has undergone continuous development to ensure its alignment with international standards, particularly those concerning the prohibition of torture and the preservation of human dignity.</w:t>
      </w:r>
    </w:p>
    <w:p w14:paraId="248F72BC" w14:textId="77777777" w:rsidR="009C379A" w:rsidRPr="009C379A" w:rsidRDefault="009C379A" w:rsidP="0085624E">
      <w:pPr>
        <w:bidi w:val="0"/>
        <w:spacing w:before="240" w:after="0"/>
        <w:jc w:val="lowKashida"/>
        <w:rPr>
          <w:rFonts w:ascii="Sakkal Majalla" w:hAnsi="Sakkal Majalla" w:cs="Sakkal Majalla"/>
          <w:sz w:val="32"/>
          <w:szCs w:val="32"/>
        </w:rPr>
      </w:pPr>
      <w:r w:rsidRPr="009C379A">
        <w:rPr>
          <w:rFonts w:ascii="Sakkal Majalla" w:hAnsi="Sakkal Majalla" w:cs="Sakkal Majalla"/>
          <w:sz w:val="32"/>
          <w:szCs w:val="32"/>
        </w:rPr>
        <w:t xml:space="preserve">The Bahraini legislator introduced substantive amendments to the Penal Code that reinforced protections against torture. These amendments incorporated explicit provisions criminalizing all forms of torture, whether committed by a public official or a person entrusted with </w:t>
      </w:r>
      <w:proofErr w:type="gramStart"/>
      <w:r w:rsidRPr="009C379A">
        <w:rPr>
          <w:rFonts w:ascii="Sakkal Majalla" w:hAnsi="Sakkal Majalla" w:cs="Sakkal Majalla"/>
          <w:sz w:val="32"/>
          <w:szCs w:val="32"/>
        </w:rPr>
        <w:t>a public</w:t>
      </w:r>
      <w:proofErr w:type="gramEnd"/>
      <w:r w:rsidRPr="009C379A">
        <w:rPr>
          <w:rFonts w:ascii="Sakkal Majalla" w:hAnsi="Sakkal Majalla" w:cs="Sakkal Majalla"/>
          <w:sz w:val="32"/>
          <w:szCs w:val="32"/>
        </w:rPr>
        <w:t xml:space="preserve"> service. The scope of criminalization was further expanded to include any individual who commits such an act, even if they are not a public official or entrusted with </w:t>
      </w:r>
      <w:proofErr w:type="gramStart"/>
      <w:r w:rsidRPr="009C379A">
        <w:rPr>
          <w:rFonts w:ascii="Sakkal Majalla" w:hAnsi="Sakkal Majalla" w:cs="Sakkal Majalla"/>
          <w:sz w:val="32"/>
          <w:szCs w:val="32"/>
        </w:rPr>
        <w:t>a public</w:t>
      </w:r>
      <w:proofErr w:type="gramEnd"/>
      <w:r w:rsidRPr="009C379A">
        <w:rPr>
          <w:rFonts w:ascii="Sakkal Majalla" w:hAnsi="Sakkal Majalla" w:cs="Sakkal Majalla"/>
          <w:sz w:val="32"/>
          <w:szCs w:val="32"/>
        </w:rPr>
        <w:t xml:space="preserve"> service. The offense is constituted whenever the act results in severe physical or psychological pain or suffering.</w:t>
      </w:r>
    </w:p>
    <w:p w14:paraId="4E419DE8" w14:textId="77777777" w:rsidR="009C379A" w:rsidRPr="009C379A" w:rsidRDefault="009C379A" w:rsidP="0085624E">
      <w:pPr>
        <w:bidi w:val="0"/>
        <w:spacing w:before="240" w:after="0"/>
        <w:jc w:val="lowKashida"/>
        <w:rPr>
          <w:rFonts w:ascii="Sakkal Majalla" w:hAnsi="Sakkal Majalla" w:cs="Sakkal Majalla"/>
          <w:sz w:val="32"/>
          <w:szCs w:val="32"/>
        </w:rPr>
      </w:pPr>
      <w:r w:rsidRPr="009C379A">
        <w:rPr>
          <w:rFonts w:ascii="Sakkal Majalla" w:hAnsi="Sakkal Majalla" w:cs="Sakkal Majalla"/>
          <w:sz w:val="32"/>
          <w:szCs w:val="32"/>
        </w:rPr>
        <w:t>The provision criminalizes all forms through which torture may be committed, including infliction of harm, incitement, acceptance, approval, or threats of committing torture. The penalty is further increased if the offense results in the victim’s death. The law also explicitly stipulates that such crimes are not subject to any statute of limitations, ensuring that perpetrators can be prosecuted and punished whenever the offense is discovered. This reflects the absolute nature of the prohibition of torture within the Bahraini legal system.</w:t>
      </w:r>
    </w:p>
    <w:p w14:paraId="63C5485C" w14:textId="74020CE6" w:rsidR="00A945EB" w:rsidRPr="00863B82" w:rsidRDefault="009C379A"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Code of Criminal Procedure, through its provisions, also provides firm guarantees for preserving the integrity of the investigation and the fairness of the trial. It stipulates that the judge issues his ruling based on his conviction, which is formed freely from the evidence presented to him in the session. It also explicitly states that the judge may not base his decision on any evidence not presented to him in the session, and that any statement proven to have been made under duress or threat is inadmissible and cannot be relied upon.</w:t>
      </w:r>
    </w:p>
    <w:p w14:paraId="73D167DB" w14:textId="77777777" w:rsidR="00A10DF0" w:rsidRPr="00A10DF0" w:rsidRDefault="00A10DF0" w:rsidP="0085624E">
      <w:pPr>
        <w:bidi w:val="0"/>
        <w:spacing w:before="240" w:after="0"/>
        <w:jc w:val="lowKashida"/>
        <w:rPr>
          <w:rFonts w:ascii="Sakkal Majalla" w:hAnsi="Sakkal Majalla" w:cs="Sakkal Majalla"/>
          <w:sz w:val="32"/>
          <w:szCs w:val="32"/>
        </w:rPr>
      </w:pPr>
      <w:r w:rsidRPr="00A10DF0">
        <w:rPr>
          <w:rFonts w:ascii="Sakkal Majalla" w:hAnsi="Sakkal Majalla" w:cs="Sakkal Majalla"/>
          <w:sz w:val="32"/>
          <w:szCs w:val="32"/>
        </w:rPr>
        <w:t xml:space="preserve">The law also established a precise mechanism for examining allegations of torture or ill-treatment, assigning jurisdiction to the Public Prosecution whenever such acts occur during the </w:t>
      </w:r>
      <w:r w:rsidRPr="00A10DF0">
        <w:rPr>
          <w:rFonts w:ascii="Sakkal Majalla" w:hAnsi="Sakkal Majalla" w:cs="Sakkal Majalla"/>
          <w:sz w:val="32"/>
          <w:szCs w:val="32"/>
        </w:rPr>
        <w:lastRenderedPageBreak/>
        <w:t>evidence-gathering stage, investigation, or trial proceedings. This ensures the independence of the investigative authority and its complete separation from law-enforcement bodies.</w:t>
      </w:r>
    </w:p>
    <w:p w14:paraId="438A2F93" w14:textId="77777777" w:rsidR="00A10DF0" w:rsidRPr="00A10DF0" w:rsidRDefault="00A10DF0" w:rsidP="0085624E">
      <w:pPr>
        <w:bidi w:val="0"/>
        <w:spacing w:before="240" w:after="0"/>
        <w:jc w:val="lowKashida"/>
        <w:rPr>
          <w:rFonts w:ascii="Sakkal Majalla" w:hAnsi="Sakkal Majalla" w:cs="Sakkal Majalla"/>
          <w:sz w:val="32"/>
          <w:szCs w:val="32"/>
        </w:rPr>
      </w:pPr>
      <w:r w:rsidRPr="00A10DF0">
        <w:rPr>
          <w:rFonts w:ascii="Sakkal Majalla" w:hAnsi="Sakkal Majalla" w:cs="Sakkal Majalla"/>
          <w:sz w:val="32"/>
          <w:szCs w:val="32"/>
        </w:rPr>
        <w:t>The legislator further granted any person who claims to have been subjected to retaliation for previously reporting torture or ill-treatment the right to seek civil remedies before the competent investigative authority or court.</w:t>
      </w:r>
    </w:p>
    <w:p w14:paraId="07C20CCE" w14:textId="3068CB5B" w:rsidR="00A10DF0" w:rsidRPr="00A10DF0" w:rsidRDefault="00A10DF0" w:rsidP="0085624E">
      <w:pPr>
        <w:bidi w:val="0"/>
        <w:spacing w:before="240" w:after="0"/>
        <w:jc w:val="lowKashida"/>
        <w:rPr>
          <w:rFonts w:ascii="Sakkal Majalla" w:hAnsi="Sakkal Majalla" w:cs="Sakkal Majalla"/>
          <w:sz w:val="32"/>
          <w:szCs w:val="32"/>
        </w:rPr>
      </w:pPr>
      <w:r w:rsidRPr="00A10DF0">
        <w:rPr>
          <w:rFonts w:ascii="Sakkal Majalla" w:hAnsi="Sakkal Majalla" w:cs="Sakkal Majalla"/>
          <w:sz w:val="32"/>
          <w:szCs w:val="32"/>
        </w:rPr>
        <w:t xml:space="preserve">In the same context, </w:t>
      </w:r>
      <w:r w:rsidRPr="00863B82">
        <w:rPr>
          <w:rFonts w:ascii="Sakkal Majalla" w:hAnsi="Sakkal Majalla" w:cs="Sakkal Majalla"/>
          <w:sz w:val="32"/>
          <w:szCs w:val="32"/>
        </w:rPr>
        <w:t xml:space="preserve">Law No. (18) of 2014 promulgating Reform and Rehabilitation Institution </w:t>
      </w:r>
      <w:r w:rsidRPr="00A10DF0">
        <w:rPr>
          <w:rFonts w:ascii="Sakkal Majalla" w:hAnsi="Sakkal Majalla" w:cs="Sakkal Majalla"/>
          <w:sz w:val="32"/>
          <w:szCs w:val="32"/>
        </w:rPr>
        <w:t xml:space="preserve">regulates the treatment of inmates and detainees in a manner that safeguards their dignity. It requires the separation of different categories of </w:t>
      </w:r>
      <w:r w:rsidRPr="00863B82">
        <w:rPr>
          <w:rFonts w:ascii="Sakkal Majalla" w:hAnsi="Sakkal Majalla" w:cs="Sakkal Majalla"/>
          <w:sz w:val="32"/>
          <w:szCs w:val="32"/>
        </w:rPr>
        <w:t>inmates</w:t>
      </w:r>
      <w:r w:rsidRPr="00A10DF0">
        <w:rPr>
          <w:rFonts w:ascii="Sakkal Majalla" w:hAnsi="Sakkal Majalla" w:cs="Sakkal Majalla"/>
          <w:sz w:val="32"/>
          <w:szCs w:val="32"/>
        </w:rPr>
        <w:t xml:space="preserve"> based on age, gender, and type of offense, thereby strengthening humanitarian standards in the management of correctional facilities.</w:t>
      </w:r>
    </w:p>
    <w:p w14:paraId="3A71F462" w14:textId="77777777" w:rsidR="00A10DF0" w:rsidRPr="00863B82" w:rsidRDefault="00A10DF0" w:rsidP="0085624E">
      <w:pPr>
        <w:bidi w:val="0"/>
        <w:spacing w:before="240" w:after="0"/>
        <w:jc w:val="lowKashida"/>
        <w:rPr>
          <w:rFonts w:ascii="Sakkal Majalla" w:hAnsi="Sakkal Majalla" w:cs="Sakkal Majalla"/>
          <w:sz w:val="32"/>
          <w:szCs w:val="32"/>
          <w:rtl/>
        </w:rPr>
      </w:pPr>
      <w:r w:rsidRPr="00A10DF0">
        <w:rPr>
          <w:rFonts w:ascii="Sakkal Majalla" w:hAnsi="Sakkal Majalla" w:cs="Sakkal Majalla"/>
          <w:sz w:val="32"/>
          <w:szCs w:val="32"/>
        </w:rPr>
        <w:t>We assure the esteemed Committee that torture is criminalized in the Kingdom of Bahrain in times of peace, war, and states of emergency, in all its forms. There is no legislation in the Kingdom that permits the commission of such acts under any circumstances.</w:t>
      </w:r>
    </w:p>
    <w:p w14:paraId="09D6381A" w14:textId="77777777" w:rsidR="00A10DF0" w:rsidRPr="00863B82" w:rsidRDefault="00A10DF0"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It should be noted that the Kingdom of Bahrain issued Law No. (44) of 2018 concerning international crimes, which addressed matters related to the most serious crimes at the international level, including (genocide, crimes against humanity, and war crimes). Many acts related to torture and inhuman treatment were criminalized, for example:</w:t>
      </w:r>
    </w:p>
    <w:p w14:paraId="0E42C2D2" w14:textId="4E096132" w:rsidR="00A10DF0" w:rsidRPr="00863B82" w:rsidRDefault="00A10DF0" w:rsidP="0085624E">
      <w:pPr>
        <w:pStyle w:val="ListParagraph"/>
        <w:numPr>
          <w:ilvl w:val="0"/>
          <w:numId w:val="1"/>
        </w:numPr>
        <w:bidi w:val="0"/>
        <w:spacing w:before="240" w:after="0"/>
        <w:jc w:val="lowKashida"/>
        <w:rPr>
          <w:rFonts w:ascii="Sakkal Majalla" w:hAnsi="Sakkal Majalla" w:cs="Sakkal Majalla"/>
          <w:sz w:val="32"/>
          <w:szCs w:val="32"/>
          <w:rtl/>
        </w:rPr>
      </w:pPr>
      <w:r w:rsidRPr="00863B82">
        <w:rPr>
          <w:rFonts w:ascii="Sakkal Majalla" w:hAnsi="Sakkal Majalla" w:cs="Sakkal Majalla"/>
          <w:sz w:val="32"/>
          <w:szCs w:val="32"/>
        </w:rPr>
        <w:t>The crime of genocide: where severe penalties were stipulated for (the crime of causing serious physical or mental harm, and the crime of subjecting a group to living conditions intended to bring about its destruction).</w:t>
      </w:r>
    </w:p>
    <w:p w14:paraId="7F43BAC9" w14:textId="77777777" w:rsidR="00A10DF0" w:rsidRPr="00863B82" w:rsidRDefault="00A10DF0" w:rsidP="0085624E">
      <w:pPr>
        <w:pStyle w:val="ListParagraph"/>
        <w:numPr>
          <w:ilvl w:val="0"/>
          <w:numId w:val="1"/>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Crimes against humanity: These are offenses committed in a systematic and widespread manner, whether in times of peace or war. Severe penalties have been established for </w:t>
      </w:r>
      <w:r w:rsidRPr="00863B82">
        <w:rPr>
          <w:rFonts w:ascii="Sakkal Majalla" w:hAnsi="Sakkal Majalla" w:cs="Sakkal Majalla"/>
          <w:sz w:val="32"/>
          <w:szCs w:val="32"/>
        </w:rPr>
        <w:lastRenderedPageBreak/>
        <w:t>crimes such as torture, persecution by depriving a group of fundamental rights, and other inhumane acts of a similar nature to torture, among others.</w:t>
      </w:r>
    </w:p>
    <w:p w14:paraId="64619DAA" w14:textId="70121AE3" w:rsidR="00A10DF0" w:rsidRPr="00863B82" w:rsidRDefault="00A10DF0" w:rsidP="0085624E">
      <w:pPr>
        <w:pStyle w:val="ListParagraph"/>
        <w:numPr>
          <w:ilvl w:val="0"/>
          <w:numId w:val="1"/>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War crimes: These include offenses committed during international and non-international armed conflicts. The law imposes strict penalties for acts such as torture, the deliberate starvation of civilians, forced displacement of civilian populations, and intentionally causing severe suffering or serious physical or health harm during armed conflicts.</w:t>
      </w:r>
    </w:p>
    <w:p w14:paraId="2011A9AF" w14:textId="7EC08204" w:rsidR="000523DB" w:rsidRPr="00863B82" w:rsidRDefault="00DD1A11" w:rsidP="0085624E">
      <w:pPr>
        <w:pStyle w:val="NormalWeb"/>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spacing w:before="240" w:beforeAutospacing="0" w:after="0" w:afterAutospacing="0"/>
        <w:ind w:left="360"/>
        <w:jc w:val="lowKashida"/>
        <w:rPr>
          <w:rStyle w:val="Strong"/>
          <w:rFonts w:ascii="Sakkal Majalla" w:eastAsiaTheme="majorEastAsia" w:hAnsi="Sakkal Majalla" w:cs="Sakkal Majalla"/>
          <w:sz w:val="32"/>
          <w:szCs w:val="32"/>
        </w:rPr>
      </w:pPr>
      <w:r w:rsidRPr="00863B82">
        <w:rPr>
          <w:rStyle w:val="Strong"/>
          <w:rFonts w:ascii="Sakkal Majalla" w:eastAsiaTheme="majorEastAsia" w:hAnsi="Sakkal Majalla" w:cs="Sakkal Majalla"/>
          <w:sz w:val="32"/>
          <w:szCs w:val="32"/>
        </w:rPr>
        <w:t>Topic</w:t>
      </w:r>
      <w:r w:rsidR="000313D8" w:rsidRPr="00863B82">
        <w:rPr>
          <w:rStyle w:val="Strong"/>
          <w:rFonts w:ascii="Sakkal Majalla" w:eastAsiaTheme="majorEastAsia" w:hAnsi="Sakkal Majalla" w:cs="Sakkal Majalla"/>
          <w:sz w:val="32"/>
          <w:szCs w:val="32"/>
        </w:rPr>
        <w:t xml:space="preserve"> 2</w:t>
      </w:r>
      <w:r w:rsidR="000523DB" w:rsidRPr="00863B82">
        <w:rPr>
          <w:rStyle w:val="Strong"/>
          <w:rFonts w:ascii="Sakkal Majalla" w:eastAsiaTheme="majorEastAsia" w:hAnsi="Sakkal Majalla" w:cs="Sakkal Majalla"/>
          <w:sz w:val="32"/>
          <w:szCs w:val="32"/>
        </w:rPr>
        <w:t>: Allegations of Torture in Courts and the Review of Convictions Based on Coerced Confessions</w:t>
      </w:r>
    </w:p>
    <w:p w14:paraId="48934A2A" w14:textId="6EBF6CF9" w:rsidR="000523DB" w:rsidRPr="000523DB" w:rsidRDefault="000523DB" w:rsidP="0085624E">
      <w:pPr>
        <w:pStyle w:val="NormalWeb"/>
        <w:spacing w:before="240" w:beforeAutospacing="0" w:after="0" w:afterAutospacing="0"/>
        <w:ind w:left="36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At the outset, we affirm that the criminal justice legislation in the Kingdom of Bahrain has adopted measures that ensure the protection and safeguarding of the rights of the accused at all stages</w:t>
      </w:r>
      <w:r w:rsidRPr="00863B82">
        <w:rPr>
          <w:rFonts w:ascii="Sakkal Majalla" w:eastAsiaTheme="majorEastAsia" w:hAnsi="Sakkal Majalla" w:cs="Sakkal Majalla"/>
          <w:sz w:val="32"/>
          <w:szCs w:val="32"/>
        </w:rPr>
        <w:t xml:space="preserve">, </w:t>
      </w:r>
      <w:r w:rsidRPr="000523DB">
        <w:rPr>
          <w:rFonts w:ascii="Sakkal Majalla" w:eastAsiaTheme="majorEastAsia" w:hAnsi="Sakkal Majalla" w:cs="Sakkal Majalla"/>
          <w:sz w:val="32"/>
          <w:szCs w:val="32"/>
        </w:rPr>
        <w:t>during investigation, inquiry, trial, and until the issuance of a final judgment. Key guarantees include:</w:t>
      </w:r>
    </w:p>
    <w:p w14:paraId="55911A81"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The right to appear before a judge.</w:t>
      </w:r>
    </w:p>
    <w:p w14:paraId="446B1007" w14:textId="77777777" w:rsidR="000523DB" w:rsidRPr="00863B82"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863B82">
        <w:rPr>
          <w:rFonts w:ascii="Sakkal Majalla" w:eastAsiaTheme="majorEastAsia" w:hAnsi="Sakkal Majalla" w:cs="Sakkal Majalla"/>
          <w:sz w:val="32"/>
          <w:szCs w:val="32"/>
        </w:rPr>
        <w:t xml:space="preserve">The trial shall be public except in special cases (children, family cases), </w:t>
      </w:r>
      <w:proofErr w:type="gramStart"/>
      <w:r w:rsidRPr="00863B82">
        <w:rPr>
          <w:rFonts w:ascii="Sakkal Majalla" w:eastAsiaTheme="majorEastAsia" w:hAnsi="Sakkal Majalla" w:cs="Sakkal Majalla"/>
          <w:sz w:val="32"/>
          <w:szCs w:val="32"/>
        </w:rPr>
        <w:t>in order to</w:t>
      </w:r>
      <w:proofErr w:type="gramEnd"/>
      <w:r w:rsidRPr="00863B82">
        <w:rPr>
          <w:rFonts w:ascii="Sakkal Majalla" w:eastAsiaTheme="majorEastAsia" w:hAnsi="Sakkal Majalla" w:cs="Sakkal Majalla"/>
          <w:sz w:val="32"/>
          <w:szCs w:val="32"/>
        </w:rPr>
        <w:t xml:space="preserve"> ensure transparency.</w:t>
      </w:r>
    </w:p>
    <w:p w14:paraId="70D4B62F" w14:textId="69823D00"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Presumption of innocence until proven guilty: the accused is considered innocent, and the burden of proof lies with the prosecution.</w:t>
      </w:r>
    </w:p>
    <w:p w14:paraId="2B5E0B9B"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The right to defend oneself, including:</w:t>
      </w:r>
    </w:p>
    <w:p w14:paraId="51F00DC1" w14:textId="77777777" w:rsidR="000523DB" w:rsidRPr="000523DB" w:rsidRDefault="000523DB" w:rsidP="0085624E">
      <w:pPr>
        <w:pStyle w:val="NormalWeb"/>
        <w:numPr>
          <w:ilvl w:val="1"/>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Appointing a lawyer.</w:t>
      </w:r>
    </w:p>
    <w:p w14:paraId="014C73CB" w14:textId="77777777" w:rsidR="000523DB" w:rsidRPr="000523DB" w:rsidRDefault="000523DB" w:rsidP="0085624E">
      <w:pPr>
        <w:pStyle w:val="NormalWeb"/>
        <w:numPr>
          <w:ilvl w:val="1"/>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Accessing the case file and evidence.</w:t>
      </w:r>
    </w:p>
    <w:p w14:paraId="6D02DB94"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Clear and understandable notification of the charges, and the right to request witnesses.</w:t>
      </w:r>
    </w:p>
    <w:p w14:paraId="21AEBCBF"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lastRenderedPageBreak/>
        <w:t>Sufficient time and facilities to prepare a defense.</w:t>
      </w:r>
    </w:p>
    <w:p w14:paraId="478BB3B1"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Any confession obtained through torture is null and void under the law.</w:t>
      </w:r>
    </w:p>
    <w:p w14:paraId="55797201"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The right to appeal the judgment through either appeal or cassation.</w:t>
      </w:r>
    </w:p>
    <w:p w14:paraId="2F176F00" w14:textId="77777777" w:rsidR="000523DB" w:rsidRPr="000523DB"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Adjudication within a reasonable timeframe.</w:t>
      </w:r>
    </w:p>
    <w:p w14:paraId="310A1649" w14:textId="77777777" w:rsidR="000523DB" w:rsidRPr="00863B82" w:rsidRDefault="000523DB" w:rsidP="0085624E">
      <w:pPr>
        <w:pStyle w:val="NormalWeb"/>
        <w:numPr>
          <w:ilvl w:val="0"/>
          <w:numId w:val="2"/>
        </w:numPr>
        <w:spacing w:before="240" w:beforeAutospacing="0" w:after="0" w:afterAutospacing="0"/>
        <w:jc w:val="lowKashida"/>
        <w:rPr>
          <w:rFonts w:ascii="Sakkal Majalla" w:eastAsiaTheme="majorEastAsia" w:hAnsi="Sakkal Majalla" w:cs="Sakkal Majalla"/>
          <w:sz w:val="32"/>
          <w:szCs w:val="32"/>
        </w:rPr>
      </w:pPr>
      <w:r w:rsidRPr="000523DB">
        <w:rPr>
          <w:rFonts w:ascii="Sakkal Majalla" w:eastAsiaTheme="majorEastAsia" w:hAnsi="Sakkal Majalla" w:cs="Sakkal Majalla"/>
          <w:sz w:val="32"/>
          <w:szCs w:val="32"/>
        </w:rPr>
        <w:t>The right to be represented by a lawyer.</w:t>
      </w:r>
    </w:p>
    <w:p w14:paraId="15F379A9" w14:textId="3CFC1A52" w:rsidR="000523DB" w:rsidRPr="00863B82" w:rsidRDefault="000523DB" w:rsidP="0085624E">
      <w:pPr>
        <w:pStyle w:val="NormalWeb"/>
        <w:spacing w:before="240" w:beforeAutospacing="0" w:after="0" w:afterAutospacing="0"/>
        <w:jc w:val="lowKashida"/>
        <w:rPr>
          <w:rFonts w:ascii="Sakkal Majalla" w:eastAsiaTheme="majorEastAsia" w:hAnsi="Sakkal Majalla" w:cs="Sakkal Majalla"/>
          <w:sz w:val="32"/>
          <w:szCs w:val="32"/>
        </w:rPr>
      </w:pPr>
      <w:r w:rsidRPr="00863B82">
        <w:rPr>
          <w:rFonts w:ascii="Sakkal Majalla" w:eastAsiaTheme="majorEastAsia" w:hAnsi="Sakkal Majalla" w:cs="Sakkal Majalla"/>
          <w:sz w:val="32"/>
          <w:szCs w:val="32"/>
        </w:rPr>
        <w:t>The Kingdom of Bahrain affirms that its national legislation has established a comprehensive system of legal safeguards that ensure the inadmissibility of any evidence obtained through unlawful means, in accordance with Article 15 of the Convention against Torture. Article 19(d) of the Constitution of the Kingdom of Bahrain stipulates that: “No person shall be subjected to physical or psychological torture, coercion, or degrading treatment. The law shall determine the punishment for anyone who commits such acts. Any statement or confession proven to have been obtained under torture, coercion, such treatment, or the threat thereof shall be null and void.” Furthermore, Article 104 of the Constitution stipulates that the honor, integrity, and impartiality of the judiciary are the foundation of governance and a guarantee of rights and freedoms, and that no authority shall have power over a judge in the performance of their duties.</w:t>
      </w:r>
    </w:p>
    <w:p w14:paraId="084F7BB5" w14:textId="1260CF59" w:rsidR="000523DB" w:rsidRPr="00863B82" w:rsidRDefault="000523DB" w:rsidP="0085624E">
      <w:pPr>
        <w:pStyle w:val="NormalWeb"/>
        <w:spacing w:before="240" w:beforeAutospacing="0" w:after="0" w:afterAutospacing="0"/>
        <w:jc w:val="lowKashida"/>
        <w:rPr>
          <w:rFonts w:ascii="Sakkal Majalla" w:eastAsiaTheme="majorEastAsia" w:hAnsi="Sakkal Majalla" w:cs="Sakkal Majalla"/>
          <w:sz w:val="32"/>
          <w:szCs w:val="32"/>
        </w:rPr>
      </w:pPr>
      <w:r w:rsidRPr="00863B82">
        <w:rPr>
          <w:rFonts w:ascii="Sakkal Majalla" w:eastAsiaTheme="majorEastAsia" w:hAnsi="Sakkal Majalla" w:cs="Sakkal Majalla"/>
          <w:sz w:val="32"/>
          <w:szCs w:val="32"/>
        </w:rPr>
        <w:t>The Code of Criminal Procedure further translates these principles into practice. Article (253) stipulates that the judge must rule on the case according to the conviction he has formed freely and without coercion, and he may not base his judgment on any evidence not presented to him in court. Furthermore, any statement proven to have been made by a defendant or witness under duress or threat is inadmissible and cannot be relied upon. Article (81 bis) also stipulates that the Special Investigation Unit has jurisdiction to examine allegations of torture, inhuman or degrading treatment, or related deaths, whether they occurred during the investigation, inquiry, or trial. These allegations are to be referred to the Unit as one of the competent oversight bodies, thus strengthening the independence of the investigation and enshrining the principle of accountability in accordance with international standards.</w:t>
      </w:r>
    </w:p>
    <w:p w14:paraId="4B7E1FB4" w14:textId="20A7283D" w:rsidR="000523DB" w:rsidRPr="00863B82" w:rsidRDefault="006C5D98" w:rsidP="0085624E">
      <w:pPr>
        <w:pStyle w:val="NormalWeb"/>
        <w:spacing w:before="240" w:beforeAutospacing="0" w:after="0" w:afterAutospacing="0"/>
        <w:jc w:val="lowKashida"/>
        <w:rPr>
          <w:rFonts w:ascii="Sakkal Majalla" w:eastAsiaTheme="majorEastAsia" w:hAnsi="Sakkal Majalla" w:cs="Sakkal Majalla"/>
          <w:sz w:val="32"/>
          <w:szCs w:val="32"/>
        </w:rPr>
      </w:pPr>
      <w:r w:rsidRPr="00863B82">
        <w:rPr>
          <w:rFonts w:ascii="Sakkal Majalla" w:eastAsiaTheme="majorEastAsia" w:hAnsi="Sakkal Majalla" w:cs="Sakkal Majalla"/>
          <w:sz w:val="32"/>
          <w:szCs w:val="32"/>
        </w:rPr>
        <w:lastRenderedPageBreak/>
        <w:t>In this context, the Public Prosecutor issued five circulars regulating the work of Public Prosecution members and obligating them to immediately refer any allegation of torture to the Special Investigation Unit, including submission to a forensic examiner and recording the allegation in an official report whenever it is raised before the court. These procedures constitute a fundamental guarantee for the effectiveness and transparency of the investigation.</w:t>
      </w:r>
    </w:p>
    <w:p w14:paraId="1667376C" w14:textId="6107A56E" w:rsidR="000523DB" w:rsidRPr="00863B82" w:rsidRDefault="006C5D98" w:rsidP="0085624E">
      <w:pPr>
        <w:pStyle w:val="NormalWeb"/>
        <w:spacing w:before="240" w:beforeAutospacing="0" w:after="0" w:afterAutospacing="0"/>
        <w:jc w:val="lowKashida"/>
        <w:rPr>
          <w:rStyle w:val="Strong"/>
          <w:rFonts w:ascii="Sakkal Majalla" w:eastAsiaTheme="majorEastAsia" w:hAnsi="Sakkal Majalla" w:cs="Sakkal Majalla"/>
          <w:b w:val="0"/>
          <w:bCs w:val="0"/>
          <w:sz w:val="32"/>
          <w:szCs w:val="32"/>
        </w:rPr>
      </w:pPr>
      <w:r w:rsidRPr="00863B82">
        <w:rPr>
          <w:rStyle w:val="Strong"/>
          <w:rFonts w:ascii="Sakkal Majalla" w:eastAsiaTheme="majorEastAsia" w:hAnsi="Sakkal Majalla" w:cs="Sakkal Majalla"/>
          <w:b w:val="0"/>
          <w:bCs w:val="0"/>
          <w:sz w:val="32"/>
          <w:szCs w:val="32"/>
        </w:rPr>
        <w:t>Furthermore, Bahraini legislation, through Articles (19) and (20) of the Constitution and Articles (253) and (286) of the Criminal Procedure Code, enshrines the principle of procedural legality, which renders any evidence obtained through any procedure inadmissible. Any statement or confession proven to have been obtained under torture or coercion is inadmissible, and all its consequences are considered null and void, in accordance with the fundamental principle that "what is built on falsehood is void." This principle extends to all stages of the proceedings, from investigation to execution, to guarantee the protection of the rights of the accused and prevent any abuses.</w:t>
      </w:r>
    </w:p>
    <w:p w14:paraId="289F9023" w14:textId="0C694F3B" w:rsidR="006C5D98" w:rsidRPr="00863B82" w:rsidRDefault="006C5D98" w:rsidP="0085624E">
      <w:pPr>
        <w:pStyle w:val="NormalWeb"/>
        <w:spacing w:before="240" w:beforeAutospacing="0" w:after="0" w:afterAutospacing="0"/>
        <w:jc w:val="lowKashida"/>
        <w:rPr>
          <w:rStyle w:val="Strong"/>
          <w:rFonts w:ascii="Sakkal Majalla" w:eastAsiaTheme="majorEastAsia" w:hAnsi="Sakkal Majalla" w:cs="Sakkal Majalla"/>
          <w:b w:val="0"/>
          <w:bCs w:val="0"/>
          <w:sz w:val="32"/>
          <w:szCs w:val="32"/>
        </w:rPr>
      </w:pPr>
      <w:r w:rsidRPr="00863B82">
        <w:rPr>
          <w:rStyle w:val="Strong"/>
          <w:rFonts w:ascii="Sakkal Majalla" w:eastAsiaTheme="majorEastAsia" w:hAnsi="Sakkal Majalla" w:cs="Sakkal Majalla"/>
          <w:b w:val="0"/>
          <w:bCs w:val="0"/>
          <w:sz w:val="32"/>
          <w:szCs w:val="32"/>
        </w:rPr>
        <w:t>From a judicial perspective, the Bahraini Court of Cassation has consistently held that any allegation of torture raised before the court must be thoroughly verified. The court must document any apparent physical or psychological effects in the session minutes and examine their connection to the contested confession, otherwise, the judgment is considered flawed in its reasoning. This principle has been reiterated in several rulings, including Court of Cassation rulings No. 634 and 645 of 2018 (session of 23 September 2019), which stated that a claim of coercion rendering a confession invalid is a substantive objection that the court must investigate and address, so long as the judgment relies upon that confession.</w:t>
      </w:r>
    </w:p>
    <w:p w14:paraId="587336A6" w14:textId="5FDE10C5" w:rsidR="006C5D98" w:rsidRPr="00863B82" w:rsidRDefault="006C5D98" w:rsidP="0085624E">
      <w:pPr>
        <w:pStyle w:val="NormalWeb"/>
        <w:spacing w:before="240" w:beforeAutospacing="0" w:after="0" w:afterAutospacing="0"/>
        <w:jc w:val="lowKashida"/>
        <w:rPr>
          <w:rFonts w:ascii="Sakkal Majalla" w:eastAsiaTheme="majorEastAsia" w:hAnsi="Sakkal Majalla" w:cs="Sakkal Majalla"/>
          <w:sz w:val="32"/>
          <w:szCs w:val="32"/>
        </w:rPr>
      </w:pPr>
      <w:r w:rsidRPr="00863B82">
        <w:rPr>
          <w:rFonts w:ascii="Sakkal Majalla" w:eastAsiaTheme="majorEastAsia" w:hAnsi="Sakkal Majalla" w:cs="Sakkal Majalla"/>
          <w:sz w:val="32"/>
          <w:szCs w:val="32"/>
        </w:rPr>
        <w:t>This practical application reflects the national judiciary’s commitment to the constitutional and legislative principles that prohibit the admission of any evidence obtained through torture or coercion, obliging judges to exercise their independent oversight over the validity of evidence and the correctness of procedures.</w:t>
      </w:r>
    </w:p>
    <w:p w14:paraId="4B9469F0" w14:textId="0CE5C169" w:rsidR="00515636" w:rsidRPr="00863B82" w:rsidRDefault="00515636" w:rsidP="0085624E">
      <w:pPr>
        <w:pStyle w:val="NormalWeb"/>
        <w:spacing w:before="240" w:beforeAutospacing="0" w:after="0" w:afterAutospacing="0"/>
        <w:jc w:val="lowKashida"/>
        <w:rPr>
          <w:rStyle w:val="Strong"/>
          <w:rFonts w:ascii="Sakkal Majalla" w:eastAsiaTheme="majorEastAsia" w:hAnsi="Sakkal Majalla" w:cs="Sakkal Majalla"/>
          <w:b w:val="0"/>
          <w:bCs w:val="0"/>
          <w:sz w:val="32"/>
          <w:szCs w:val="32"/>
        </w:rPr>
      </w:pPr>
      <w:r w:rsidRPr="00863B82">
        <w:rPr>
          <w:rStyle w:val="Strong"/>
          <w:rFonts w:ascii="Sakkal Majalla" w:eastAsiaTheme="majorEastAsia" w:hAnsi="Sakkal Majalla" w:cs="Sakkal Majalla"/>
          <w:b w:val="0"/>
          <w:bCs w:val="0"/>
          <w:sz w:val="32"/>
          <w:szCs w:val="32"/>
        </w:rPr>
        <w:lastRenderedPageBreak/>
        <w:t>The law also provides for the review of a final judgment whenever new evidence emerges, ensuring the right to reconsideration and the full exhaustion of all remedies.</w:t>
      </w:r>
    </w:p>
    <w:p w14:paraId="25E95BAE" w14:textId="46BC4301" w:rsidR="00515636" w:rsidRPr="00863B82" w:rsidRDefault="00DD1A11" w:rsidP="0085624E">
      <w:pPr>
        <w:pStyle w:val="NormalWeb"/>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spacing w:before="240" w:beforeAutospacing="0" w:after="0" w:afterAutospacing="0"/>
        <w:jc w:val="lowKashida"/>
        <w:rPr>
          <w:rStyle w:val="Strong"/>
          <w:rFonts w:ascii="Sakkal Majalla" w:eastAsiaTheme="majorEastAsia" w:hAnsi="Sakkal Majalla" w:cs="Sakkal Majalla"/>
          <w:sz w:val="32"/>
          <w:szCs w:val="32"/>
        </w:rPr>
      </w:pPr>
      <w:r w:rsidRPr="00863B82">
        <w:rPr>
          <w:rStyle w:val="Strong"/>
          <w:rFonts w:ascii="Sakkal Majalla" w:eastAsiaTheme="majorEastAsia" w:hAnsi="Sakkal Majalla" w:cs="Sakkal Majalla"/>
          <w:sz w:val="32"/>
          <w:szCs w:val="32"/>
        </w:rPr>
        <w:t>Topic</w:t>
      </w:r>
      <w:r w:rsidR="000313D8" w:rsidRPr="00863B82">
        <w:rPr>
          <w:rStyle w:val="Strong"/>
          <w:rFonts w:ascii="Sakkal Majalla" w:eastAsiaTheme="majorEastAsia" w:hAnsi="Sakkal Majalla" w:cs="Sakkal Majalla"/>
          <w:sz w:val="32"/>
          <w:szCs w:val="32"/>
        </w:rPr>
        <w:t xml:space="preserve"> 3</w:t>
      </w:r>
      <w:r w:rsidR="00515636" w:rsidRPr="00863B82">
        <w:rPr>
          <w:rStyle w:val="Strong"/>
          <w:rFonts w:ascii="Sakkal Majalla" w:eastAsiaTheme="majorEastAsia" w:hAnsi="Sakkal Majalla" w:cs="Sakkal Majalla"/>
          <w:sz w:val="32"/>
          <w:szCs w:val="32"/>
        </w:rPr>
        <w:t>: Solitary Confinement and Safeguards Ensuring Its Legality and Prevention of Its Use as a Means of Torture</w:t>
      </w:r>
    </w:p>
    <w:p w14:paraId="01AC74F1" w14:textId="40CD69A0" w:rsidR="00A10DF0" w:rsidRPr="00863B82" w:rsidRDefault="00515636"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Ministry of Interior places special emphasis on ensuring that the use of solitary confinement complies with the Kingdom of Bahrain’s international obligations. Solitary confinement is applied only in the narrowest scope and for the minimum necessary duration, in accordance with Law No. (18) of 2014 on the Reform and Rehabilitation Institution and its Executive Regulations (No. 131 of 2015). During confinement, all legal and humanitarian safeguards are observed, consistent with the United Nations Standard Minimum Rules for the Treatment of Prisoners (the Nelson Mandela Rules).</w:t>
      </w:r>
    </w:p>
    <w:p w14:paraId="18C8652F" w14:textId="51468B7C" w:rsidR="00515636" w:rsidRPr="00863B82" w:rsidRDefault="00515636" w:rsidP="0085624E">
      <w:pPr>
        <w:bidi w:val="0"/>
        <w:spacing w:before="240" w:after="0"/>
        <w:jc w:val="lowKashida"/>
        <w:rPr>
          <w:rFonts w:ascii="Sakkal Majalla" w:hAnsi="Sakkal Majalla" w:cs="Sakkal Majalla"/>
          <w:sz w:val="32"/>
          <w:szCs w:val="32"/>
        </w:rPr>
      </w:pPr>
      <w:r w:rsidRPr="00515636">
        <w:rPr>
          <w:rFonts w:ascii="Sakkal Majalla" w:hAnsi="Sakkal Majalla" w:cs="Sakkal Majalla"/>
          <w:sz w:val="32"/>
          <w:szCs w:val="32"/>
        </w:rPr>
        <w:t xml:space="preserve">We emphasize that solitary confinement is considered a disciplinary measure under the </w:t>
      </w:r>
      <w:r w:rsidRPr="00863B82">
        <w:rPr>
          <w:rFonts w:ascii="Sakkal Majalla" w:hAnsi="Sakkal Majalla" w:cs="Sakkal Majalla"/>
          <w:sz w:val="32"/>
          <w:szCs w:val="32"/>
        </w:rPr>
        <w:t>Reform</w:t>
      </w:r>
      <w:r w:rsidRPr="00515636">
        <w:rPr>
          <w:rFonts w:ascii="Sakkal Majalla" w:hAnsi="Sakkal Majalla" w:cs="Sakkal Majalla"/>
          <w:sz w:val="32"/>
          <w:szCs w:val="32"/>
        </w:rPr>
        <w:t xml:space="preserve"> and Rehabilitation Institution Law and its Executive Regulations. Its primary purpose is to maintain security within the correctional facility and ensure discipline among inmates.</w:t>
      </w:r>
    </w:p>
    <w:p w14:paraId="739C500E" w14:textId="68DF9994" w:rsidR="00515636" w:rsidRPr="00515636" w:rsidRDefault="00515636" w:rsidP="0085624E">
      <w:pPr>
        <w:bidi w:val="0"/>
        <w:spacing w:before="240" w:after="0"/>
        <w:jc w:val="lowKashida"/>
        <w:rPr>
          <w:rFonts w:ascii="Sakkal Majalla" w:hAnsi="Sakkal Majalla" w:cs="Sakkal Majalla"/>
          <w:sz w:val="32"/>
          <w:szCs w:val="32"/>
        </w:rPr>
      </w:pPr>
      <w:r w:rsidRPr="00515636">
        <w:rPr>
          <w:rFonts w:ascii="Sakkal Majalla" w:hAnsi="Sakkal Majalla" w:cs="Sakkal Majalla"/>
          <w:sz w:val="32"/>
          <w:szCs w:val="32"/>
        </w:rPr>
        <w:t xml:space="preserve">The </w:t>
      </w:r>
      <w:r w:rsidRPr="00863B82">
        <w:rPr>
          <w:rFonts w:ascii="Sakkal Majalla" w:hAnsi="Sakkal Majalla" w:cs="Sakkal Majalla"/>
          <w:sz w:val="32"/>
          <w:szCs w:val="32"/>
        </w:rPr>
        <w:t>Reform</w:t>
      </w:r>
      <w:r w:rsidRPr="00515636">
        <w:rPr>
          <w:rFonts w:ascii="Sakkal Majalla" w:hAnsi="Sakkal Majalla" w:cs="Sakkal Majalla"/>
          <w:sz w:val="32"/>
          <w:szCs w:val="32"/>
        </w:rPr>
        <w:t xml:space="preserve"> Institution also adheres to a maximum duration of solitary confinement of seven days, in accordance with Article 56 of the </w:t>
      </w:r>
      <w:r w:rsidRPr="00863B82">
        <w:rPr>
          <w:rFonts w:ascii="Sakkal Majalla" w:hAnsi="Sakkal Majalla" w:cs="Sakkal Majalla"/>
          <w:sz w:val="32"/>
          <w:szCs w:val="32"/>
        </w:rPr>
        <w:t>Reform</w:t>
      </w:r>
      <w:r w:rsidRPr="00515636">
        <w:rPr>
          <w:rFonts w:ascii="Sakkal Majalla" w:hAnsi="Sakkal Majalla" w:cs="Sakkal Majalla"/>
          <w:sz w:val="32"/>
          <w:szCs w:val="32"/>
        </w:rPr>
        <w:t xml:space="preserve"> and Rehabilitation Institution Law. To ensure proper implementation and prevent abuse of authority, Article 67 of the Executive Regulations of the same law stipulates that disciplinary measures, including solitary confinement, are to be carried out by a disciplinary committee composed of three members. Inmates have the right to </w:t>
      </w:r>
      <w:proofErr w:type="gramStart"/>
      <w:r w:rsidRPr="00515636">
        <w:rPr>
          <w:rFonts w:ascii="Sakkal Majalla" w:hAnsi="Sakkal Majalla" w:cs="Sakkal Majalla"/>
          <w:sz w:val="32"/>
          <w:szCs w:val="32"/>
        </w:rPr>
        <w:t>appeal</w:t>
      </w:r>
      <w:proofErr w:type="gramEnd"/>
      <w:r w:rsidRPr="00515636">
        <w:rPr>
          <w:rFonts w:ascii="Sakkal Majalla" w:hAnsi="Sakkal Majalla" w:cs="Sakkal Majalla"/>
          <w:sz w:val="32"/>
          <w:szCs w:val="32"/>
        </w:rPr>
        <w:t xml:space="preserve"> any disciplinary </w:t>
      </w:r>
      <w:proofErr w:type="gramStart"/>
      <w:r w:rsidRPr="00515636">
        <w:rPr>
          <w:rFonts w:ascii="Sakkal Majalla" w:hAnsi="Sakkal Majalla" w:cs="Sakkal Majalla"/>
          <w:sz w:val="32"/>
          <w:szCs w:val="32"/>
        </w:rPr>
        <w:t>measure</w:t>
      </w:r>
      <w:proofErr w:type="gramEnd"/>
      <w:r w:rsidRPr="00515636">
        <w:rPr>
          <w:rFonts w:ascii="Sakkal Majalla" w:hAnsi="Sakkal Majalla" w:cs="Sakkal Majalla"/>
          <w:sz w:val="32"/>
          <w:szCs w:val="32"/>
        </w:rPr>
        <w:t xml:space="preserve"> taken against them, and the proportionality of the penalty to the severity of the offense is </w:t>
      </w:r>
      <w:proofErr w:type="gramStart"/>
      <w:r w:rsidRPr="00515636">
        <w:rPr>
          <w:rFonts w:ascii="Sakkal Majalla" w:hAnsi="Sakkal Majalla" w:cs="Sakkal Majalla"/>
          <w:sz w:val="32"/>
          <w:szCs w:val="32"/>
        </w:rPr>
        <w:t>taken into account</w:t>
      </w:r>
      <w:proofErr w:type="gramEnd"/>
      <w:r w:rsidRPr="00515636">
        <w:rPr>
          <w:rFonts w:ascii="Sakkal Majalla" w:hAnsi="Sakkal Majalla" w:cs="Sakkal Majalla"/>
          <w:sz w:val="32"/>
          <w:szCs w:val="32"/>
        </w:rPr>
        <w:t>. Inmates receive full care during the implementation of these measures in a manner that preserves their human dignity.</w:t>
      </w:r>
    </w:p>
    <w:p w14:paraId="4EB814AF" w14:textId="17940DD5" w:rsidR="00515636" w:rsidRPr="00515636" w:rsidRDefault="00515636" w:rsidP="0085624E">
      <w:pPr>
        <w:bidi w:val="0"/>
        <w:spacing w:before="240" w:after="0"/>
        <w:jc w:val="lowKashida"/>
        <w:rPr>
          <w:rFonts w:ascii="Sakkal Majalla" w:hAnsi="Sakkal Majalla" w:cs="Sakkal Majalla"/>
          <w:sz w:val="32"/>
          <w:szCs w:val="32"/>
        </w:rPr>
      </w:pPr>
      <w:r w:rsidRPr="00515636">
        <w:rPr>
          <w:rFonts w:ascii="Sakkal Majalla" w:hAnsi="Sakkal Majalla" w:cs="Sakkal Majalla"/>
          <w:sz w:val="32"/>
          <w:szCs w:val="32"/>
        </w:rPr>
        <w:lastRenderedPageBreak/>
        <w:t xml:space="preserve">Places of detention and confinement in general, and solitary confinement in particular, are subject to oversight by independent monitoring bodies and judicial authorities, as provided in Article 63 of the Code of Criminal Procedure and Article 63 of the </w:t>
      </w:r>
      <w:r w:rsidRPr="00863B82">
        <w:rPr>
          <w:rFonts w:ascii="Sakkal Majalla" w:hAnsi="Sakkal Majalla" w:cs="Sakkal Majalla"/>
          <w:sz w:val="32"/>
          <w:szCs w:val="32"/>
        </w:rPr>
        <w:t>Reform</w:t>
      </w:r>
      <w:r w:rsidRPr="00515636">
        <w:rPr>
          <w:rFonts w:ascii="Sakkal Majalla" w:hAnsi="Sakkal Majalla" w:cs="Sakkal Majalla"/>
          <w:sz w:val="32"/>
          <w:szCs w:val="32"/>
        </w:rPr>
        <w:t xml:space="preserve"> and Rehabilitation Institution Law.</w:t>
      </w:r>
    </w:p>
    <w:p w14:paraId="6D7E872B" w14:textId="4CC4CEAA" w:rsidR="00515636" w:rsidRPr="00515636" w:rsidRDefault="00DD1A11"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863B82">
        <w:rPr>
          <w:rFonts w:ascii="Sakkal Majalla" w:hAnsi="Sakkal Majalla" w:cs="Sakkal Majalla"/>
          <w:b/>
          <w:bCs/>
          <w:sz w:val="32"/>
          <w:szCs w:val="32"/>
        </w:rPr>
        <w:t>Topic</w:t>
      </w:r>
      <w:r w:rsidR="000313D8" w:rsidRPr="00863B82">
        <w:rPr>
          <w:rFonts w:ascii="Sakkal Majalla" w:hAnsi="Sakkal Majalla" w:cs="Sakkal Majalla"/>
          <w:b/>
          <w:bCs/>
          <w:sz w:val="32"/>
          <w:szCs w:val="32"/>
        </w:rPr>
        <w:t xml:space="preserve"> 4</w:t>
      </w:r>
      <w:r w:rsidR="00515636" w:rsidRPr="00515636">
        <w:rPr>
          <w:rFonts w:ascii="Sakkal Majalla" w:hAnsi="Sakkal Majalla" w:cs="Sakkal Majalla"/>
          <w:b/>
          <w:bCs/>
          <w:sz w:val="32"/>
          <w:szCs w:val="32"/>
        </w:rPr>
        <w:t xml:space="preserve">: Allegations of Coerced Confessions </w:t>
      </w:r>
      <w:r w:rsidR="00A8176C" w:rsidRPr="00863B82">
        <w:rPr>
          <w:rFonts w:ascii="Sakkal Majalla" w:hAnsi="Sakkal Majalla" w:cs="Sakkal Majalla"/>
          <w:b/>
          <w:bCs/>
          <w:sz w:val="32"/>
          <w:szCs w:val="32"/>
          <w:rtl/>
        </w:rPr>
        <w:t>-</w:t>
      </w:r>
      <w:r w:rsidR="00515636" w:rsidRPr="00515636">
        <w:rPr>
          <w:rFonts w:ascii="Sakkal Majalla" w:hAnsi="Sakkal Majalla" w:cs="Sakkal Majalla"/>
          <w:b/>
          <w:bCs/>
          <w:sz w:val="32"/>
          <w:szCs w:val="32"/>
        </w:rPr>
        <w:t xml:space="preserve"> “Jau” Center as an Example</w:t>
      </w:r>
    </w:p>
    <w:p w14:paraId="0A388122" w14:textId="122765B4"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Ministry of Interior affirms its full commitment to the provisions of the Constitution, national laws, and international conventions to which the Kingdom of Bahrain is a party, all of which prohibit torture or any form of cruel, inhuman, or degrading treatment or punishment. The Ministry emphasizes that all its departments and Reform and Rehabilitation Institution centers operate under clear legal and procedural frameworks that ensure respect for human dignity and the protection of rights</w:t>
      </w:r>
      <w:r w:rsidRPr="00863B82">
        <w:rPr>
          <w:rFonts w:ascii="Sakkal Majalla" w:hAnsi="Sakkal Majalla" w:cs="Sakkal Majalla"/>
          <w:sz w:val="32"/>
          <w:szCs w:val="32"/>
          <w:rtl/>
        </w:rPr>
        <w:t>.</w:t>
      </w:r>
    </w:p>
    <w:p w14:paraId="46933AF7" w14:textId="34BEAE09" w:rsidR="00515636"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All detention facilities are subject to regular oversight and monitoring by the Public Prosecution and independent human rights bodies, including the Ombudsman, the Commission for the Rights of Inmates and Detainees, the Special Investigation Unit, the National Institution for Human Rights, and the Internal Audit and Investigation Department, all of which receive and investigate any complaints or allegations submitted.</w:t>
      </w:r>
    </w:p>
    <w:p w14:paraId="01D18119" w14:textId="484F0D85" w:rsidR="00DD1A11" w:rsidRPr="00DD1A11" w:rsidRDefault="00DD1A11" w:rsidP="0085624E">
      <w:pPr>
        <w:bidi w:val="0"/>
        <w:spacing w:before="240" w:after="0"/>
        <w:jc w:val="lowKashida"/>
        <w:rPr>
          <w:rFonts w:ascii="Sakkal Majalla" w:hAnsi="Sakkal Majalla" w:cs="Sakkal Majalla"/>
          <w:sz w:val="32"/>
          <w:szCs w:val="32"/>
        </w:rPr>
      </w:pPr>
      <w:r w:rsidRPr="00DD1A11">
        <w:rPr>
          <w:rFonts w:ascii="Sakkal Majalla" w:hAnsi="Sakkal Majalla" w:cs="Sakkal Majalla"/>
          <w:sz w:val="32"/>
          <w:szCs w:val="32"/>
        </w:rPr>
        <w:t xml:space="preserve">Both the Code of Criminal Procedure No. (46) of 2002 and the Reform and Rehabilitation Institution Law No. (18) of 2014 specify the oversight authorities responsible for inspections at any time and for receiving complaints and grievances from detainees or inmates. These authorities include the President of the Court of Cassation, the </w:t>
      </w:r>
      <w:r w:rsidRPr="00863B82">
        <w:rPr>
          <w:rFonts w:ascii="Sakkal Majalla" w:hAnsi="Sakkal Majalla" w:cs="Sakkal Majalla"/>
          <w:sz w:val="32"/>
          <w:szCs w:val="32"/>
        </w:rPr>
        <w:t>Public Prosecutor</w:t>
      </w:r>
      <w:r w:rsidRPr="00DD1A11">
        <w:rPr>
          <w:rFonts w:ascii="Sakkal Majalla" w:hAnsi="Sakkal Majalla" w:cs="Sakkal Majalla"/>
          <w:sz w:val="32"/>
          <w:szCs w:val="32"/>
        </w:rPr>
        <w:t xml:space="preserve">, the President of the Court of Appeal, the Execution Judge, and the Deputy </w:t>
      </w:r>
      <w:r w:rsidRPr="00863B82">
        <w:rPr>
          <w:rFonts w:ascii="Sakkal Majalla" w:hAnsi="Sakkal Majalla" w:cs="Sakkal Majalla"/>
          <w:sz w:val="32"/>
          <w:szCs w:val="32"/>
        </w:rPr>
        <w:t xml:space="preserve">Public Prosecutor. </w:t>
      </w:r>
    </w:p>
    <w:p w14:paraId="5D524C09" w14:textId="77777777" w:rsidR="00DD1A11" w:rsidRPr="00DD1A11" w:rsidRDefault="00DD1A11" w:rsidP="0085624E">
      <w:pPr>
        <w:bidi w:val="0"/>
        <w:spacing w:before="240" w:after="0"/>
        <w:jc w:val="lowKashida"/>
        <w:rPr>
          <w:rFonts w:ascii="Sakkal Majalla" w:hAnsi="Sakkal Majalla" w:cs="Sakkal Majalla"/>
          <w:sz w:val="32"/>
          <w:szCs w:val="32"/>
        </w:rPr>
      </w:pPr>
      <w:r w:rsidRPr="00DD1A11">
        <w:rPr>
          <w:rFonts w:ascii="Sakkal Majalla" w:hAnsi="Sakkal Majalla" w:cs="Sakkal Majalla"/>
          <w:sz w:val="32"/>
          <w:szCs w:val="32"/>
        </w:rPr>
        <w:lastRenderedPageBreak/>
        <w:t xml:space="preserve">The Ministry also emphasizes that some of the allegations of torture or ill-treatment are not based on reliable evidence. Any individual violations, once verified, are immediately referred </w:t>
      </w:r>
      <w:proofErr w:type="gramStart"/>
      <w:r w:rsidRPr="00DD1A11">
        <w:rPr>
          <w:rFonts w:ascii="Sakkal Majalla" w:hAnsi="Sakkal Majalla" w:cs="Sakkal Majalla"/>
          <w:sz w:val="32"/>
          <w:szCs w:val="32"/>
        </w:rPr>
        <w:t>to</w:t>
      </w:r>
      <w:proofErr w:type="gramEnd"/>
      <w:r w:rsidRPr="00DD1A11">
        <w:rPr>
          <w:rFonts w:ascii="Sakkal Majalla" w:hAnsi="Sakkal Majalla" w:cs="Sakkal Majalla"/>
          <w:sz w:val="32"/>
          <w:szCs w:val="32"/>
        </w:rPr>
        <w:t xml:space="preserve"> the competent authorities to ensure accountability and transparency, thereby reinforcing the principles of the rule of law and respect for human rights.</w:t>
      </w:r>
    </w:p>
    <w:p w14:paraId="2732CAFD" w14:textId="49CA0D67"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Ministry affirms its adherence to international standards in dealing with accused persons and inmates, providing them with all legal safeguards established under Bahraini legislation. Arrest and detention procedures are subject to legal and procedural controls designed to protect the rights of the accused and inmates</w:t>
      </w:r>
      <w:r w:rsidRPr="00863B82">
        <w:rPr>
          <w:rFonts w:ascii="Sakkal Majalla" w:hAnsi="Sakkal Majalla" w:cs="Sakkal Majalla"/>
          <w:sz w:val="32"/>
          <w:szCs w:val="32"/>
          <w:rtl/>
        </w:rPr>
        <w:t>.</w:t>
      </w:r>
    </w:p>
    <w:p w14:paraId="7D677845" w14:textId="6770F9CA"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Complaint boxes are also available in detention facilities and Reform and Rehabilitation Institution centers, under the oversight of the Ombudsman and the Internal Audit and Investigation Department, allowing inmates to submit complaints</w:t>
      </w:r>
      <w:r w:rsidRPr="00863B82">
        <w:rPr>
          <w:rFonts w:ascii="Sakkal Majalla" w:hAnsi="Sakkal Majalla" w:cs="Sakkal Majalla"/>
          <w:sz w:val="32"/>
          <w:szCs w:val="32"/>
          <w:rtl/>
        </w:rPr>
        <w:t>.</w:t>
      </w:r>
    </w:p>
    <w:p w14:paraId="73568481" w14:textId="057DE515"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 addition, security cameras with audio and video recording are installed in all areas where inmates are present, operating around the clock to ensure their safety and security.</w:t>
      </w:r>
    </w:p>
    <w:p w14:paraId="4718723F" w14:textId="2B574F3D"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 addition, the Minister of Interior issued Police Code of Conduct No. (14) of 2012, which sets out rules and guidelines for the conduct of law enforcement personnel, particularly regarding the use of force and firearms, ensuring that such measures are applied only in accordance with legal regulations and limited to authorized circumstances</w:t>
      </w:r>
      <w:r w:rsidRPr="00863B82">
        <w:rPr>
          <w:rFonts w:ascii="Sakkal Majalla" w:hAnsi="Sakkal Majalla" w:cs="Sakkal Majalla"/>
          <w:sz w:val="32"/>
          <w:szCs w:val="32"/>
          <w:rtl/>
        </w:rPr>
        <w:t>.</w:t>
      </w:r>
    </w:p>
    <w:p w14:paraId="37C0A3E3" w14:textId="0FE3A5AB" w:rsidR="00DD1A11" w:rsidRPr="00863B82" w:rsidRDefault="00DD1A1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Furthermore, Ministerial Decree No. 93 of 2018 was issued to establish a Human Rights Committee within the Ministry of Interior, tasked with examining and studying human rights issues related to the Ministry, promoting a culture of human rights and raising awareness of its importance among Ministry personnel, developing and implementing a comprehensive Ministry-wide human rights strategy, and addressing other related matters.</w:t>
      </w:r>
    </w:p>
    <w:p w14:paraId="24F6AACB" w14:textId="5CEDBB2C" w:rsidR="00F07768" w:rsidRPr="00863B82" w:rsidRDefault="00F07768"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lastRenderedPageBreak/>
        <w:t>The Ministry has also signed a Memorandum of Understanding (MoU) with the International Committee of the Red Cross (ICRC), which allows the ICRC to visit prisons and detention centers. Under this MoU, the ICRC has conducted training courses on human rights and international humanitarian law for personnel in Reform and Rehabilitation Institution centers, aimed at developing their skills and promoting a culture of human rights</w:t>
      </w:r>
      <w:r w:rsidRPr="00863B82">
        <w:rPr>
          <w:rFonts w:ascii="Sakkal Majalla" w:hAnsi="Sakkal Majalla" w:cs="Sakkal Majalla"/>
          <w:sz w:val="32"/>
          <w:szCs w:val="32"/>
          <w:rtl/>
        </w:rPr>
        <w:t>.</w:t>
      </w:r>
    </w:p>
    <w:p w14:paraId="037C442C" w14:textId="26030544" w:rsidR="00F07768" w:rsidRPr="00863B82" w:rsidRDefault="00F07768"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We note that Ministry personnel are held accountable for any individual violations in accordance with the Penal Code issued under Decree-Law No. (15) of 1976. Disciplinary measures are applied based on the Public Security Forces Law issued under Decree No. (3) of 1982 by the Police Courts Administration, which is responsible for conducting investigations and trials in all disciplinary cases involving Public Security Forces members, in addition to criminal cases committed during, because of, or in connection with official duties, while in uniform, or within any military facility.</w:t>
      </w:r>
    </w:p>
    <w:p w14:paraId="77CE3E16"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The Internal Audit and Investigation Department works to ensure compliance with the laws of the Kingdom of Bahrain and professional policing standards as set forth in the Ministry of Interior Law, the Police Code of Conduct, and lawful orders related to official duties issued by supervisors. The Department was established under Decree No. (27) of 2012 concerning an independent office for the Ombudsman at the Ministry of Interior and its amendments, as well as Ministerial Decision No. (52) of 2012 on the reorganization of certain General Departments within the Ministry of Interior, which included the addition of the Internal Audit and Investigation Department to the Legal Affairs structure.</w:t>
      </w:r>
    </w:p>
    <w:p w14:paraId="3E30D125" w14:textId="77777777" w:rsidR="00F07768" w:rsidRPr="00863B82"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 xml:space="preserve">The Department is responsible for receiving, reviewing, and examining complaints filed against police officers within the scope of their official duties, as well as complaints against their supervisors. It preserves evidence and findings resulting from complaint examinations and may </w:t>
      </w:r>
      <w:proofErr w:type="gramStart"/>
      <w:r w:rsidRPr="00F07768">
        <w:rPr>
          <w:rFonts w:ascii="Sakkal Majalla" w:hAnsi="Sakkal Majalla" w:cs="Sakkal Majalla"/>
          <w:sz w:val="32"/>
          <w:szCs w:val="32"/>
        </w:rPr>
        <w:lastRenderedPageBreak/>
        <w:t>refer</w:t>
      </w:r>
      <w:proofErr w:type="gramEnd"/>
      <w:r w:rsidRPr="00F07768">
        <w:rPr>
          <w:rFonts w:ascii="Sakkal Majalla" w:hAnsi="Sakkal Majalla" w:cs="Sakkal Majalla"/>
          <w:sz w:val="32"/>
          <w:szCs w:val="32"/>
        </w:rPr>
        <w:t xml:space="preserve"> the complaint to the Ombudsman, the Ministry of Interior courts, or the competent authority if a punishable act is established that justifies taking disciplinary action against the perpetrator, all in accordance with the legally defined jurisdiction.</w:t>
      </w:r>
    </w:p>
    <w:p w14:paraId="36B63CE4" w14:textId="69B02D26" w:rsidR="00F07768" w:rsidRPr="00863B82" w:rsidRDefault="00F07768"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 addition, the Ministry of Interior has established the Preventive Security Department, which is responsible for monitoring, following up, and verifying information regarding Ministry personnel in cases of violations of laws and regulations, and referring them to the competent authority. The Department also contributes to shaping the conduct of Ministry staff by promoting awareness and a culture of security among personnel.</w:t>
      </w:r>
    </w:p>
    <w:p w14:paraId="24125695"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b/>
          <w:bCs/>
          <w:sz w:val="32"/>
          <w:szCs w:val="32"/>
        </w:rPr>
        <w:t>Statistics of the Internal Audit and Investigation Department:</w:t>
      </w:r>
      <w:r w:rsidRPr="00F07768">
        <w:rPr>
          <w:rFonts w:ascii="Sakkal Majalla" w:hAnsi="Sakkal Majalla" w:cs="Sakkal Majalla"/>
          <w:sz w:val="32"/>
          <w:szCs w:val="32"/>
        </w:rPr>
        <w:br/>
        <w:t>The Internal Audit and Investigation Department has examined a total of 1,274 complaints and 157 requests for assistance from 2022 to date. (Requests for assistance refer to administrative requests that do not involve any punishable acts.)</w:t>
      </w:r>
    </w:p>
    <w:p w14:paraId="548DDB3E" w14:textId="04A0FBBE" w:rsidR="00F07768" w:rsidRPr="00863B82"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b/>
          <w:bCs/>
          <w:sz w:val="32"/>
          <w:szCs w:val="32"/>
        </w:rPr>
        <w:t>Statistics of the Police Courts:</w:t>
      </w:r>
      <w:r w:rsidRPr="00F07768">
        <w:rPr>
          <w:rFonts w:ascii="Sakkal Majalla" w:hAnsi="Sakkal Majalla" w:cs="Sakkal Majalla"/>
          <w:sz w:val="32"/>
          <w:szCs w:val="32"/>
        </w:rPr>
        <w:br/>
        <w:t>The Police Courts reported the number of disciplinary actions taken against members of the Public Security Forces in rulings issued by the criminal courts of the Ministry of Justice from 2022 to date, totaling 5 judgments.</w:t>
      </w:r>
    </w:p>
    <w:p w14:paraId="6DFCA270" w14:textId="3670E39C" w:rsidR="00F07768" w:rsidRPr="00F07768" w:rsidRDefault="00F07768"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F07768">
        <w:rPr>
          <w:rFonts w:ascii="Sakkal Majalla" w:hAnsi="Sakkal Majalla" w:cs="Sakkal Majalla"/>
          <w:b/>
          <w:bCs/>
          <w:sz w:val="32"/>
          <w:szCs w:val="32"/>
        </w:rPr>
        <w:t>Topic</w:t>
      </w:r>
      <w:r w:rsidR="000313D8" w:rsidRPr="00863B82">
        <w:rPr>
          <w:rFonts w:ascii="Sakkal Majalla" w:hAnsi="Sakkal Majalla" w:cs="Sakkal Majalla"/>
          <w:b/>
          <w:bCs/>
          <w:sz w:val="32"/>
          <w:szCs w:val="32"/>
        </w:rPr>
        <w:t xml:space="preserve"> 5</w:t>
      </w:r>
      <w:r w:rsidRPr="00F07768">
        <w:rPr>
          <w:rFonts w:ascii="Sakkal Majalla" w:hAnsi="Sakkal Majalla" w:cs="Sakkal Majalla"/>
          <w:b/>
          <w:bCs/>
          <w:sz w:val="32"/>
          <w:szCs w:val="32"/>
        </w:rPr>
        <w:t>: Arrest, Investigation, and Fundamental Safeguards</w:t>
      </w:r>
    </w:p>
    <w:p w14:paraId="403CFA52"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The Kingdom of Bahrain affirms that legal safeguards related to arrest, investigation, and the protection of the rights of inmates and pretrial detainees constitute a fundamental pillar of the national justice system and are fully consistent with the Kingdom’s obligations under the Convention Against Torture and the International Covenant on Civil and Political Rights.</w:t>
      </w:r>
    </w:p>
    <w:p w14:paraId="7E5C00DD"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lastRenderedPageBreak/>
        <w:t>In this context, the Reform and Rehabilitation Institution Law and its Executive Regulations provide a wide range of rights and procedures to ensure the protection of inmates and pretrial detainees. Article 5 of the Executive Regulations stipulates that: “No person may be admitted to the institution except pursuant to a judicial ruling or a pretrial detention order issued by the competent authority in accordance with the law.”</w:t>
      </w:r>
    </w:p>
    <w:p w14:paraId="76C8BF0D" w14:textId="0E56576E" w:rsidR="00F07768" w:rsidRPr="00863B82"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Article 30 of the same regulations guarantees the right of the inmate to submit complaints, stating: “The inmate or pretrial detainee has the right to file a complaint with the judicial and security authorities in the Kingdom of Bahrain, with the Ombudsman, and with the Director of the institution.”</w:t>
      </w:r>
    </w:p>
    <w:p w14:paraId="65975B64"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 xml:space="preserve">Article 31 of the Executive Regulations also guarantees the inmate’s right to communicate with their lawyer, stating: “The institution’s administration shall allow the inmate’s or pretrial detainee’s lawyer to visit them in any disputes concerning their case. The lawyer may be accompanied by an interpreter, and the visit shall take place in a manner that is visible but not audible to the </w:t>
      </w:r>
      <w:proofErr w:type="gramStart"/>
      <w:r w:rsidRPr="00F07768">
        <w:rPr>
          <w:rFonts w:ascii="Sakkal Majalla" w:hAnsi="Sakkal Majalla" w:cs="Sakkal Majalla"/>
          <w:sz w:val="32"/>
          <w:szCs w:val="32"/>
        </w:rPr>
        <w:t>administration.”</w:t>
      </w:r>
      <w:proofErr w:type="gramEnd"/>
    </w:p>
    <w:p w14:paraId="7A9A042F" w14:textId="77777777" w:rsidR="00F07768" w:rsidRPr="00F07768"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Article 32 provides that: “If the inmate or pretrial detainee wishes to appeal the judicial rulings issued against them, they may express this desire using the designated form provided at the institution.”</w:t>
      </w:r>
    </w:p>
    <w:p w14:paraId="019F7EC2" w14:textId="77777777" w:rsidR="00F07768" w:rsidRPr="00863B82" w:rsidRDefault="00F07768" w:rsidP="0085624E">
      <w:pPr>
        <w:bidi w:val="0"/>
        <w:spacing w:before="240" w:after="0"/>
        <w:jc w:val="lowKashida"/>
        <w:rPr>
          <w:rFonts w:ascii="Sakkal Majalla" w:hAnsi="Sakkal Majalla" w:cs="Sakkal Majalla"/>
          <w:sz w:val="32"/>
          <w:szCs w:val="32"/>
        </w:rPr>
      </w:pPr>
      <w:r w:rsidRPr="00F07768">
        <w:rPr>
          <w:rFonts w:ascii="Sakkal Majalla" w:hAnsi="Sakkal Majalla" w:cs="Sakkal Majalla"/>
          <w:sz w:val="32"/>
          <w:szCs w:val="32"/>
        </w:rPr>
        <w:t>These provisions, among others, constitute a comprehensive protection system that ensures the rights of inmates and pretrial detainees, in line with the United Nations Standard Minimum Rules for the Treatment of Prisoners (the Nelson Mandela Rules), thereby upholding human dignity and preventing any violations of their rights during detention.</w:t>
      </w:r>
    </w:p>
    <w:p w14:paraId="2632E119" w14:textId="77777777" w:rsidR="00883389" w:rsidRPr="00883389" w:rsidRDefault="00883389" w:rsidP="0085624E">
      <w:pPr>
        <w:bidi w:val="0"/>
        <w:spacing w:before="240" w:after="0"/>
        <w:jc w:val="lowKashida"/>
        <w:rPr>
          <w:rFonts w:ascii="Sakkal Majalla" w:hAnsi="Sakkal Majalla" w:cs="Sakkal Majalla"/>
          <w:sz w:val="32"/>
          <w:szCs w:val="32"/>
        </w:rPr>
      </w:pPr>
      <w:r w:rsidRPr="00883389">
        <w:rPr>
          <w:rFonts w:ascii="Sakkal Majalla" w:hAnsi="Sakkal Majalla" w:cs="Sakkal Majalla"/>
          <w:sz w:val="32"/>
          <w:szCs w:val="32"/>
        </w:rPr>
        <w:t xml:space="preserve">As part of the development of legal safeguards for </w:t>
      </w:r>
      <w:proofErr w:type="gramStart"/>
      <w:r w:rsidRPr="00883389">
        <w:rPr>
          <w:rFonts w:ascii="Sakkal Majalla" w:hAnsi="Sakkal Majalla" w:cs="Sakkal Majalla"/>
          <w:sz w:val="32"/>
          <w:szCs w:val="32"/>
        </w:rPr>
        <w:t>persons</w:t>
      </w:r>
      <w:proofErr w:type="gramEnd"/>
      <w:r w:rsidRPr="00883389">
        <w:rPr>
          <w:rFonts w:ascii="Sakkal Majalla" w:hAnsi="Sakkal Majalla" w:cs="Sakkal Majalla"/>
          <w:sz w:val="32"/>
          <w:szCs w:val="32"/>
        </w:rPr>
        <w:t xml:space="preserve"> deprived of their liberty from the moment of arrest, interrogation records of suspects and detainees are conducted in rooms </w:t>
      </w:r>
      <w:r w:rsidRPr="00883389">
        <w:rPr>
          <w:rFonts w:ascii="Sakkal Majalla" w:hAnsi="Sakkal Majalla" w:cs="Sakkal Majalla"/>
          <w:sz w:val="32"/>
          <w:szCs w:val="32"/>
        </w:rPr>
        <w:lastRenderedPageBreak/>
        <w:t>equipped with audio and video devices to document all interrogation procedures and monitor any potential legal violations against them. These measures aim to prevent any abuses or instances of torture and to ensure accountability for anyone proven to have violated the rights of detainees.</w:t>
      </w:r>
    </w:p>
    <w:p w14:paraId="08F2533A" w14:textId="77777777" w:rsidR="00883389" w:rsidRPr="00863B82" w:rsidRDefault="00883389" w:rsidP="0085624E">
      <w:pPr>
        <w:bidi w:val="0"/>
        <w:spacing w:before="240" w:after="0"/>
        <w:jc w:val="lowKashida"/>
        <w:rPr>
          <w:rFonts w:ascii="Sakkal Majalla" w:hAnsi="Sakkal Majalla" w:cs="Sakkal Majalla"/>
          <w:sz w:val="32"/>
          <w:szCs w:val="32"/>
        </w:rPr>
      </w:pPr>
      <w:r w:rsidRPr="00883389">
        <w:rPr>
          <w:rFonts w:ascii="Sakkal Majalla" w:hAnsi="Sakkal Majalla" w:cs="Sakkal Majalla"/>
          <w:sz w:val="32"/>
          <w:szCs w:val="32"/>
        </w:rPr>
        <w:t>Bahraini legislation also guarantees the right of every accused person to legal counsel from the moment of arrest until the conclusion of trial proceedings, ensuring respect for the right to defense as a fundamental component of a fair trial. The Code of Criminal Procedure (Decree-Law No. 46 of 2002) provides a set of essential safeguards, the most notable of which include:</w:t>
      </w:r>
    </w:p>
    <w:p w14:paraId="787F50D9" w14:textId="77777777" w:rsidR="00883389" w:rsidRPr="00863B82" w:rsidRDefault="00883389" w:rsidP="0085624E">
      <w:pPr>
        <w:pStyle w:val="ListParagraph"/>
        <w:numPr>
          <w:ilvl w:val="0"/>
          <w:numId w:val="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No arrest or detention may be carried out except by order of the legally competent authorities.</w:t>
      </w:r>
    </w:p>
    <w:p w14:paraId="000B2711" w14:textId="474D946F" w:rsidR="00883389" w:rsidRPr="00863B82" w:rsidRDefault="00883389" w:rsidP="0085624E">
      <w:pPr>
        <w:pStyle w:val="ListParagraph"/>
        <w:numPr>
          <w:ilvl w:val="0"/>
          <w:numId w:val="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accused has the right to contact their family and to be assisted by a lawyer.</w:t>
      </w:r>
    </w:p>
    <w:p w14:paraId="46E66E53" w14:textId="06444D0E" w:rsidR="00883389" w:rsidRPr="00863B82" w:rsidRDefault="00883389" w:rsidP="0085624E">
      <w:pPr>
        <w:pStyle w:val="ListParagraph"/>
        <w:numPr>
          <w:ilvl w:val="0"/>
          <w:numId w:val="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Interrogation may not take place except in the presence of the lawyer, except in cases of flagrante delicto or risk of evidence being lost.</w:t>
      </w:r>
    </w:p>
    <w:p w14:paraId="11233402" w14:textId="59872F4C" w:rsidR="00883389" w:rsidRPr="00863B82" w:rsidRDefault="00883389" w:rsidP="0085624E">
      <w:pPr>
        <w:pStyle w:val="ListParagraph"/>
        <w:numPr>
          <w:ilvl w:val="0"/>
          <w:numId w:val="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lawyer must be allowed to review the investigation at least one day prior to the interrogation.</w:t>
      </w:r>
    </w:p>
    <w:p w14:paraId="33881792" w14:textId="27A0A367" w:rsidR="00883389" w:rsidRPr="00863B82" w:rsidRDefault="00883389" w:rsidP="0085624E">
      <w:pPr>
        <w:pStyle w:val="ListParagraph"/>
        <w:numPr>
          <w:ilvl w:val="0"/>
          <w:numId w:val="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Appointment of a lawyer at the state’s expense when needed.</w:t>
      </w:r>
    </w:p>
    <w:p w14:paraId="66A6588A" w14:textId="4DE89D79" w:rsidR="00883389" w:rsidRPr="00863B82" w:rsidRDefault="00883389"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These provisions reflect Bahrain’s commitment to Article 14 of the International Covenant on Civil and Political Rights, which guarantees the accused the right to adequate time and facilities to prepare their defense, and Article 16 of the Arab Charter on Human Rights, which enshrines the right to defense and access to a lawyer free of charge when needed</w:t>
      </w:r>
      <w:r w:rsidRPr="00863B82">
        <w:rPr>
          <w:rFonts w:ascii="Sakkal Majalla" w:hAnsi="Sakkal Majalla" w:cs="Sakkal Majalla"/>
          <w:sz w:val="32"/>
          <w:szCs w:val="32"/>
          <w:rtl/>
        </w:rPr>
        <w:t>.</w:t>
      </w:r>
    </w:p>
    <w:p w14:paraId="763D7D17" w14:textId="169F94BB" w:rsidR="00883389" w:rsidRPr="00863B82" w:rsidRDefault="00883389"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In this regard, the Ministry of Interior records all procedures for documenting interrogation reports and taking statements from accused persons at security centers using audio and video cameras to ensure that no violations occur. The Ombudsman reviews all reports and audio-visual </w:t>
      </w:r>
      <w:r w:rsidRPr="00863B82">
        <w:rPr>
          <w:rFonts w:ascii="Sakkal Majalla" w:hAnsi="Sakkal Majalla" w:cs="Sakkal Majalla"/>
          <w:sz w:val="32"/>
          <w:szCs w:val="32"/>
        </w:rPr>
        <w:lastRenderedPageBreak/>
        <w:t xml:space="preserve">recordings whenever a complaint is filed concerning a breach of detention procedures,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verify that no violations have taken place.</w:t>
      </w:r>
    </w:p>
    <w:p w14:paraId="18800031" w14:textId="016C7E40" w:rsidR="00883389" w:rsidRPr="00863B82" w:rsidRDefault="00883389"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Regarding the Committee’s inquiry about the issuance of orders to detain inmates for an additional 15 days or for consecutive periods not exceeding a total of 30 days, the Kingdom of Bahrain clarifies that the term “judge of the lower court” is inaccurate. The correct designation is “Judge of the Minor Criminal Court”, a court presided over by a qualified judge with the authority to consider Public Prosecutor requests to extend pretrial detention periods in accordance with the law.</w:t>
      </w:r>
    </w:p>
    <w:p w14:paraId="640B8A42" w14:textId="399FC85C" w:rsidR="00215982" w:rsidRPr="00215982" w:rsidRDefault="00215982"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215982">
        <w:rPr>
          <w:rFonts w:ascii="Sakkal Majalla" w:hAnsi="Sakkal Majalla" w:cs="Sakkal Majalla"/>
          <w:b/>
          <w:bCs/>
          <w:sz w:val="32"/>
          <w:szCs w:val="32"/>
        </w:rPr>
        <w:t>Topic</w:t>
      </w:r>
      <w:r w:rsidR="000313D8" w:rsidRPr="00863B82">
        <w:rPr>
          <w:rFonts w:ascii="Sakkal Majalla" w:hAnsi="Sakkal Majalla" w:cs="Sakkal Majalla"/>
          <w:b/>
          <w:bCs/>
          <w:sz w:val="32"/>
          <w:szCs w:val="32"/>
        </w:rPr>
        <w:t xml:space="preserve"> 6</w:t>
      </w:r>
      <w:r w:rsidRPr="00215982">
        <w:rPr>
          <w:rFonts w:ascii="Sakkal Majalla" w:hAnsi="Sakkal Majalla" w:cs="Sakkal Majalla"/>
          <w:b/>
          <w:bCs/>
          <w:sz w:val="32"/>
          <w:szCs w:val="32"/>
        </w:rPr>
        <w:t>: Accountability and the Prevention of Impunity</w:t>
      </w:r>
    </w:p>
    <w:p w14:paraId="20D13A2A" w14:textId="538D50EC" w:rsidR="00883389"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The Kingdom of Bahrain affirms that its efforts to develop the legislative and institutional framework to combat torture are part of its comprehensive and ongoing reform approach, aimed at ensuring the full practical implementation of the provisions of the Convention Against Torture. In recent years, a comprehensive system of relevant laws and national institutions has been established, strengthening the principles of the rule of law and ensuring that no one is above accountability.</w:t>
      </w:r>
    </w:p>
    <w:p w14:paraId="6C0799CF" w14:textId="134BCA7D"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 line with international principles recommending that states ensure investigations are conducted by an independent body, the Special Investigation Unit was established in 2012 as an independent judicial body tasked with investigating all allegations of torture and ill-treatment and holding perpetrators accountable, regardless of their rank or position, in accordance with international standards that guarantee the independence and effectiveness of investigations</w:t>
      </w:r>
      <w:r w:rsidRPr="00863B82">
        <w:rPr>
          <w:rFonts w:ascii="Sakkal Majalla" w:hAnsi="Sakkal Majalla" w:cs="Sakkal Majalla"/>
          <w:sz w:val="32"/>
          <w:szCs w:val="32"/>
          <w:rtl/>
        </w:rPr>
        <w:t>.</w:t>
      </w:r>
    </w:p>
    <w:p w14:paraId="16292596" w14:textId="5DA3E9E9"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In practice, this Unit has embodied the principle of no impunity. Since its establishment, it has sought accountability for 212 law enforcement officers, and those found guilty have received </w:t>
      </w:r>
      <w:r w:rsidRPr="00863B82">
        <w:rPr>
          <w:rFonts w:ascii="Sakkal Majalla" w:hAnsi="Sakkal Majalla" w:cs="Sakkal Majalla"/>
          <w:sz w:val="32"/>
          <w:szCs w:val="32"/>
        </w:rPr>
        <w:lastRenderedPageBreak/>
        <w:t>criminal sentences ranging from fines to imprisonment for up to seven years, in addition to disciplinary measures including warnings, salary deductions, denial of annual bonuses, deferred promotions, and dismissal from service</w:t>
      </w:r>
      <w:r w:rsidRPr="00863B82">
        <w:rPr>
          <w:rFonts w:ascii="Sakkal Majalla" w:hAnsi="Sakkal Majalla" w:cs="Sakkal Majalla"/>
          <w:sz w:val="32"/>
          <w:szCs w:val="32"/>
          <w:rtl/>
        </w:rPr>
        <w:t>.</w:t>
      </w:r>
    </w:p>
    <w:p w14:paraId="50E0CCF4" w14:textId="6B661D52"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Since 2022, criminal sentences and disciplinary measures have been issued in 23 cases involving 36 defendants, achieving a 100% conviction rate in recent years, which is clear evidence of the seriousness and precision of the Unit’s procedures. These efforts have contributed to a nearly 90% reduction in complaints falling under the Unit’s jurisdiction, a highly positive indicator of the effectiveness of the measures taken, reflecting the Kingdom of Bahrain’s commitment to upholding the rule of law and protecting human rights.</w:t>
      </w:r>
    </w:p>
    <w:p w14:paraId="09F78524" w14:textId="69C4F5AA"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On the other hand, regarding the issue of “following superior orders,” the Ministry of Interior affirms that no one may invoke orders from a higher-ranking officer as justification for committing acts in violation of the law, including torture or ill-treatment. This is in accordance with Article 74/2 of the Public Security Forces Law, which states that personnel must execute “lawful orders related to official duties issued by their superiors</w:t>
      </w:r>
      <w:r w:rsidRPr="00863B82">
        <w:rPr>
          <w:rFonts w:ascii="Sakkal Majalla" w:hAnsi="Sakkal Majalla" w:cs="Sakkal Majalla"/>
          <w:sz w:val="32"/>
          <w:szCs w:val="32"/>
          <w:rtl/>
        </w:rPr>
        <w:t>.”</w:t>
      </w:r>
    </w:p>
    <w:p w14:paraId="762E05F6" w14:textId="77BB5BFD"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Furthermore, the Police Code of Conduct provides for accountability of all personnel without bias, both before their superiors and society at large. This underscores the Ministry of Interior’s position that its personnel are held accountable for any unlawful actions they commit.</w:t>
      </w:r>
    </w:p>
    <w:p w14:paraId="7394833D" w14:textId="6F6A81A6" w:rsidR="00215982" w:rsidRPr="00215982" w:rsidRDefault="00215982"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215982">
        <w:rPr>
          <w:rFonts w:ascii="Sakkal Majalla" w:hAnsi="Sakkal Majalla" w:cs="Sakkal Majalla"/>
          <w:b/>
          <w:bCs/>
          <w:sz w:val="32"/>
          <w:szCs w:val="32"/>
        </w:rPr>
        <w:t>Topic</w:t>
      </w:r>
      <w:r w:rsidR="000313D8" w:rsidRPr="00863B82">
        <w:rPr>
          <w:rFonts w:ascii="Sakkal Majalla" w:hAnsi="Sakkal Majalla" w:cs="Sakkal Majalla"/>
          <w:b/>
          <w:bCs/>
          <w:sz w:val="32"/>
          <w:szCs w:val="32"/>
        </w:rPr>
        <w:t xml:space="preserve"> 7</w:t>
      </w:r>
      <w:r w:rsidRPr="00215982">
        <w:rPr>
          <w:rFonts w:ascii="Sakkal Majalla" w:hAnsi="Sakkal Majalla" w:cs="Sakkal Majalla"/>
          <w:b/>
          <w:bCs/>
          <w:sz w:val="32"/>
          <w:szCs w:val="32"/>
        </w:rPr>
        <w:t>: Counter-Terrorism Law and Procedures</w:t>
      </w:r>
    </w:p>
    <w:p w14:paraId="6A65668B" w14:textId="4522A086" w:rsidR="00215982" w:rsidRPr="00863B82" w:rsidRDefault="00215982"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Regarding the use of a broad definition of terrorist crimes, we inform the Committee that Law No. 58 of 2006 on the Protection of Society from Terrorist Acts, as amended, defines a terrorist crime as any offense stipulated in the Penal Code or any other law, if committed for a terrorist purpose.</w:t>
      </w:r>
    </w:p>
    <w:p w14:paraId="0C7714B1" w14:textId="77777777" w:rsidR="00215982" w:rsidRPr="00863B82" w:rsidRDefault="00215982" w:rsidP="0085624E">
      <w:pPr>
        <w:bidi w:val="0"/>
        <w:spacing w:before="240" w:after="0"/>
        <w:jc w:val="lowKashida"/>
        <w:rPr>
          <w:rFonts w:ascii="Sakkal Majalla" w:hAnsi="Sakkal Majalla" w:cs="Sakkal Majalla"/>
          <w:sz w:val="32"/>
          <w:szCs w:val="32"/>
        </w:rPr>
      </w:pPr>
      <w:r w:rsidRPr="00215982">
        <w:rPr>
          <w:rFonts w:ascii="Sakkal Majalla" w:hAnsi="Sakkal Majalla" w:cs="Sakkal Majalla"/>
          <w:sz w:val="32"/>
          <w:szCs w:val="32"/>
        </w:rPr>
        <w:lastRenderedPageBreak/>
        <w:t>Terrorism is defined as the use of force, threat of force, or any other unlawful means constituting a punishable offense, employed by the perpetrator in the execution of an individual or collective criminal plan, with the aim of disrupting public order, endangering the safety or security of the Kingdom, harming national unity, or threatening international security. Such acts are considered terrorism if they result in harm to individuals, spread fear and intimidation, endanger lives, freedoms, or security, or cause damage to the environment, public health, the national economy, public facilities or property, or obstruct their functioning, or prevent or hinder public authorities, places of worship, or educational institutions from performing their duties.</w:t>
      </w:r>
    </w:p>
    <w:p w14:paraId="507E9883" w14:textId="23ADB142" w:rsidR="00215982" w:rsidRPr="00863B82" w:rsidRDefault="00215982" w:rsidP="0085624E">
      <w:pPr>
        <w:bidi w:val="0"/>
        <w:spacing w:before="240" w:after="0"/>
        <w:jc w:val="lowKashida"/>
        <w:rPr>
          <w:rFonts w:ascii="Sakkal Majalla" w:hAnsi="Sakkal Majalla" w:cs="Sakkal Majalla"/>
          <w:sz w:val="32"/>
          <w:szCs w:val="32"/>
        </w:rPr>
      </w:pPr>
      <w:r w:rsidRPr="00215982">
        <w:rPr>
          <w:rFonts w:ascii="Sakkal Majalla" w:hAnsi="Sakkal Majalla" w:cs="Sakkal Majalla"/>
          <w:sz w:val="32"/>
          <w:szCs w:val="32"/>
        </w:rPr>
        <w:t>At the international level, the Arab Convention for the Suppression of Terrorism ratified by Decree-Law No. 15 of 1998, the Organization of Islamic Cooperation Treaty on Combating International Terrorism ratified by Decree-Law No. 26 of 2002, and the GCC Convention on Combating Terrorism ratified by Law No. 43 of 2005 define a terrorist crime as any offense or attempted offense committed for a terrorist purpose in any of the contracting states, or against their nationals, property, or interests, and punishable under their domestic law.</w:t>
      </w:r>
      <w:r w:rsidRPr="00863B82">
        <w:rPr>
          <w:rFonts w:ascii="Sakkal Majalla" w:hAnsi="Sakkal Majalla" w:cs="Sakkal Majalla"/>
          <w:sz w:val="32"/>
          <w:szCs w:val="32"/>
        </w:rPr>
        <w:t xml:space="preserve"> </w:t>
      </w:r>
      <w:r w:rsidRPr="00215982">
        <w:rPr>
          <w:rFonts w:ascii="Sakkal Majalla" w:hAnsi="Sakkal Majalla" w:cs="Sakkal Majalla"/>
          <w:sz w:val="32"/>
          <w:szCs w:val="32"/>
        </w:rPr>
        <w:t>Terrorist crimes also include offenses specified in</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Tokyo Convention concerning offenses committed on board aircraft,</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Hague Convention on the unlawful seizure of aircraft,</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Montreal Convention for suppressing unlawful acts against the safety of civil aviation,</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New York Convention for the prevention and punishment of crimes against persons enjoying international protection, including diplomatic representatives,</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Hostages Convention, and</w:t>
      </w:r>
      <w:r w:rsidRPr="00863B82">
        <w:rPr>
          <w:rFonts w:ascii="Sakkal Majalla" w:hAnsi="Sakkal Majalla" w:cs="Sakkal Majalla"/>
          <w:sz w:val="32"/>
          <w:szCs w:val="32"/>
        </w:rPr>
        <w:t xml:space="preserve"> </w:t>
      </w:r>
      <w:r w:rsidRPr="00215982">
        <w:rPr>
          <w:rFonts w:ascii="Sakkal Majalla" w:hAnsi="Sakkal Majalla" w:cs="Sakkal Majalla"/>
          <w:sz w:val="32"/>
          <w:szCs w:val="32"/>
        </w:rPr>
        <w:t>the United Nations Convention on the Law of the Sea.</w:t>
      </w:r>
    </w:p>
    <w:p w14:paraId="02875C0F" w14:textId="77777777" w:rsidR="005259CD" w:rsidRPr="005259CD"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Accordingly, the definition provided in Bahrain Law No. 58 of 2006 remains fully within the internationally recognized framework established by relevant treaties and conventions. It aligns with the international concept of a terrorist crime and ensures a balance between security requirements and the protection of human rights.</w:t>
      </w:r>
    </w:p>
    <w:p w14:paraId="1DE36479" w14:textId="77777777" w:rsidR="005259CD" w:rsidRPr="00863B82"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lastRenderedPageBreak/>
        <w:t>In this context, Law No. 58 of 2006 on the Protection of Society from Terrorist Acts, in its Article 27, permits the detention of a suspect for a period not exceeding 28 days due to the complex nature of such cases, under the supervision of the Public Prosecutor and judicial oversight of all procedures.</w:t>
      </w:r>
    </w:p>
    <w:p w14:paraId="4D1BB1CA" w14:textId="77777777" w:rsidR="005259CD" w:rsidRPr="005259CD"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The Kingdom affirms that all cases of arrest and detention are subject to legal and constitutional safeguards in compliance with relevant international conventions. The competent authorities continue to review legislation to achieve a balance between protecting national security and safeguarding public freedoms.</w:t>
      </w:r>
    </w:p>
    <w:p w14:paraId="3A80827A" w14:textId="77777777" w:rsidR="005259CD" w:rsidRPr="00863B82"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Accordingly, these legislative and procedural safeguards constitute a practical application of modern criminal justice principles and are complemented by the work of independent oversight bodies such as the Ombudsman, the Commission for the Rights of Inmates and Detainees, and the National Institution for Human Rights. These institutions monitor compliance with legal procedures in detention facilities, verify proper treatment, receive complaints from inmates, follow up on investigations with the relevant authorities, and issue periodic reports supported by statistics, sample complaints, details of investigative procedures, and the outcomes reached.</w:t>
      </w:r>
    </w:p>
    <w:p w14:paraId="4E9019D2" w14:textId="45638082" w:rsidR="005259CD" w:rsidRPr="00863B82" w:rsidRDefault="005259CD"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Practical experience has demonstrated that these safeguards are effective in protecting individual rights and ensuring that no detainee or accused person is subjected to ill-treatment, in full alignment with the Kingdom of Bahrain’s international obligations and its institutional reform approach based on transparency and accountability</w:t>
      </w:r>
      <w:r w:rsidRPr="00863B82">
        <w:rPr>
          <w:rFonts w:ascii="Sakkal Majalla" w:hAnsi="Sakkal Majalla" w:cs="Sakkal Majalla"/>
          <w:sz w:val="32"/>
          <w:szCs w:val="32"/>
          <w:rtl/>
        </w:rPr>
        <w:t>.</w:t>
      </w:r>
    </w:p>
    <w:p w14:paraId="33099F7A" w14:textId="093B5CCB" w:rsidR="005259CD" w:rsidRPr="005259CD" w:rsidRDefault="005259CD"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It is noteworthy that the number of cases related to offenses under the Law on the Protection of Society from Terrorist Acts submitted to the Public Prosecution for Terrorism Crimes remains low. Only one case was referred in 2024, confirming that counter-terrorism measures are applied solely in exceptional circumstances.</w:t>
      </w:r>
    </w:p>
    <w:p w14:paraId="12E35A75" w14:textId="77777777" w:rsidR="005259CD" w:rsidRPr="005259CD"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lastRenderedPageBreak/>
        <w:t>Regarding the training provided to law enforcement personnel on respecting human rights when addressing any terrorist or public security threat, the Ministry of Interior, through the Royal Police Academy, places great emphasis on promoting a culture of human rights. The Royal Police Academy serves as a key partner in implementing the National Human Rights Plan, pursuant to Resolution No. 35 of 2023 issued by His Royal Highness the Prime Minister.</w:t>
      </w:r>
    </w:p>
    <w:p w14:paraId="3711F03A" w14:textId="77777777" w:rsidR="005259CD" w:rsidRPr="00863B82"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The Academy has organized and conducted 22 activities to introduce Ministry of Interior personnel and relevant government entities to the National Human Rights Plan and raise awareness in this field. These activities included workshops and seminars aimed at training male and female law enforcement personnel on national and international standards concerning the protection of the right to life, physical and psychological integrity, and the right to personal liberty and security. To date, 761 personnel have benefited from these activities.</w:t>
      </w:r>
    </w:p>
    <w:p w14:paraId="2243A629" w14:textId="77777777" w:rsidR="005259CD" w:rsidRPr="005259CD"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In line with its commitment to embedding human rights principles within its educational and training programs, the Royal Police Academy places special emphasis on integrating educational and training modules on rights and freedoms into its annual plans, keeping pace with developments and best practices in policing and security work.</w:t>
      </w:r>
    </w:p>
    <w:p w14:paraId="184A45D8" w14:textId="77777777" w:rsidR="005259CD" w:rsidRPr="005259CD" w:rsidRDefault="005259CD" w:rsidP="0085624E">
      <w:p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The Academy’s approved annual plans and programs in this field include the following:</w:t>
      </w:r>
    </w:p>
    <w:p w14:paraId="7896BB9B" w14:textId="77777777" w:rsidR="005259CD" w:rsidRPr="005259CD"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 xml:space="preserve">Specialized Academic Programs in Human Rights: The Royal Police Academy has established specialized academic programs in human rights, including the </w:t>
      </w:r>
      <w:proofErr w:type="gramStart"/>
      <w:r w:rsidRPr="005259CD">
        <w:rPr>
          <w:rFonts w:ascii="Sakkal Majalla" w:hAnsi="Sakkal Majalla" w:cs="Sakkal Majalla"/>
          <w:sz w:val="32"/>
          <w:szCs w:val="32"/>
        </w:rPr>
        <w:t>Master’s</w:t>
      </w:r>
      <w:proofErr w:type="gramEnd"/>
      <w:r w:rsidRPr="005259CD">
        <w:rPr>
          <w:rFonts w:ascii="Sakkal Majalla" w:hAnsi="Sakkal Majalla" w:cs="Sakkal Majalla"/>
          <w:sz w:val="32"/>
          <w:szCs w:val="32"/>
        </w:rPr>
        <w:t xml:space="preserve"> Program in Human Rights and Justice in collaboration with the University of Huddersfield, UK, and the Joint Diploma Program in Human Rights.</w:t>
      </w:r>
    </w:p>
    <w:p w14:paraId="49A81FB2" w14:textId="77777777" w:rsidR="005259CD" w:rsidRPr="005259CD"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 xml:space="preserve">Mandatory Human Rights Courses: Human rights courses are integrated into the academic curriculum for all levels at the Royal Police Academy (Joint Diploma, Bachelor’s, and </w:t>
      </w:r>
      <w:proofErr w:type="gramStart"/>
      <w:r w:rsidRPr="005259CD">
        <w:rPr>
          <w:rFonts w:ascii="Sakkal Majalla" w:hAnsi="Sakkal Majalla" w:cs="Sakkal Majalla"/>
          <w:sz w:val="32"/>
          <w:szCs w:val="32"/>
        </w:rPr>
        <w:t>Master’s</w:t>
      </w:r>
      <w:proofErr w:type="gramEnd"/>
      <w:r w:rsidRPr="005259CD">
        <w:rPr>
          <w:rFonts w:ascii="Sakkal Majalla" w:hAnsi="Sakkal Majalla" w:cs="Sakkal Majalla"/>
          <w:sz w:val="32"/>
          <w:szCs w:val="32"/>
        </w:rPr>
        <w:t xml:space="preserve"> programs).</w:t>
      </w:r>
    </w:p>
    <w:p w14:paraId="51D4C934" w14:textId="77777777" w:rsidR="005259CD" w:rsidRPr="005259CD"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lastRenderedPageBreak/>
        <w:t xml:space="preserve">Courses for Non-Commissioned Officers and Relevant Civilians: The Academy, through the Police Training Institute, has organized 13 courses titled </w:t>
      </w:r>
      <w:r w:rsidRPr="005259CD">
        <w:rPr>
          <w:rFonts w:ascii="Sakkal Majalla" w:hAnsi="Sakkal Majalla" w:cs="Sakkal Majalla"/>
          <w:i/>
          <w:iCs/>
          <w:sz w:val="32"/>
          <w:szCs w:val="32"/>
        </w:rPr>
        <w:t>“Human Rights Guarantees in Policing.”</w:t>
      </w:r>
    </w:p>
    <w:p w14:paraId="6B37AC0D" w14:textId="77777777" w:rsidR="005259CD" w:rsidRPr="005259CD"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Human Rights Events and Workshops: The Royal Police Academy, via its Security Research Center, organizes events and workshops on human rights in collaboration with national bodies and organizations active in this field.</w:t>
      </w:r>
    </w:p>
    <w:p w14:paraId="51D05898" w14:textId="77777777" w:rsidR="005259CD" w:rsidRPr="005259CD"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Promotion of Scientific Research in Human Rights: The Academy encourages graduate students to conduct research on human rights issues and their application in policing, addressing topics related to rights and freedoms and supporting relevant initiatives.</w:t>
      </w:r>
    </w:p>
    <w:p w14:paraId="09F974C1" w14:textId="6E0B3316" w:rsidR="005259CD" w:rsidRPr="00863B82" w:rsidRDefault="005259CD" w:rsidP="0085624E">
      <w:pPr>
        <w:numPr>
          <w:ilvl w:val="0"/>
          <w:numId w:val="5"/>
        </w:numPr>
        <w:bidi w:val="0"/>
        <w:spacing w:before="240" w:after="0"/>
        <w:jc w:val="lowKashida"/>
        <w:rPr>
          <w:rFonts w:ascii="Sakkal Majalla" w:hAnsi="Sakkal Majalla" w:cs="Sakkal Majalla"/>
          <w:sz w:val="32"/>
          <w:szCs w:val="32"/>
        </w:rPr>
      </w:pPr>
      <w:r w:rsidRPr="005259CD">
        <w:rPr>
          <w:rFonts w:ascii="Sakkal Majalla" w:hAnsi="Sakkal Majalla" w:cs="Sakkal Majalla"/>
          <w:sz w:val="32"/>
          <w:szCs w:val="32"/>
        </w:rPr>
        <w:t>Field Visits to Human Rights Institutions: To enhance practical understanding of human rights principles and their implementation, the Academy organizes periodic field visits for students in the Joint Diploma, Bachelor’s, and postgraduate programs to national human rights bodies, such as the National Institution for Human Rights and reform institutions. These visits aim to familiarize students with the practical aspects of rights implementation, promote interaction with specialists, and link theoretical knowledge to real-world experience.</w:t>
      </w:r>
    </w:p>
    <w:p w14:paraId="0F13EC74" w14:textId="6DA451CB" w:rsidR="005259CD" w:rsidRPr="00863B82" w:rsidRDefault="005259CD"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On another </w:t>
      </w:r>
      <w:proofErr w:type="gramStart"/>
      <w:r w:rsidRPr="00863B82">
        <w:rPr>
          <w:rFonts w:ascii="Sakkal Majalla" w:hAnsi="Sakkal Majalla" w:cs="Sakkal Majalla"/>
          <w:sz w:val="32"/>
          <w:szCs w:val="32"/>
        </w:rPr>
        <w:t>front</w:t>
      </w:r>
      <w:proofErr w:type="gramEnd"/>
      <w:r w:rsidRPr="00863B82">
        <w:rPr>
          <w:rFonts w:ascii="Sakkal Majalla" w:hAnsi="Sakkal Majalla" w:cs="Sakkal Majalla"/>
          <w:sz w:val="32"/>
          <w:szCs w:val="32"/>
        </w:rPr>
        <w:t>, within the scope of human rights training and awareness, the Special Investigation Unit has prioritized training since its inception by organizing events and programs and strengthening partnerships with various national and international entities, particularly with the United Nations Development Programme (UNDP). Over the past 13 years, this has resulted in the implementation of 34 training activities, including specialized workshops, regional and international conferences, diverse training programs, and visits by international experts.</w:t>
      </w:r>
    </w:p>
    <w:p w14:paraId="20D5E245" w14:textId="5477C43E" w:rsidR="005259CD" w:rsidRPr="00863B82" w:rsidRDefault="005259CD"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lastRenderedPageBreak/>
        <w:t>In addition,</w:t>
      </w:r>
      <w:r w:rsidRPr="005259CD">
        <w:rPr>
          <w:rFonts w:ascii="Sakkal Majalla" w:hAnsi="Sakkal Majalla" w:cs="Sakkal Majalla"/>
          <w:sz w:val="32"/>
          <w:szCs w:val="32"/>
        </w:rPr>
        <w:t xml:space="preserve"> the Institute of Judicial and Legal Studies has conducted 53 training programs in the field of human rights from 2020 to date. These programs targeted members of the Public Prosecution, judges, law enforcement personnel, healthcare staff, and other relevant groups. The topics covered included an introduction to international law, including the Convention against Torture, relevant national legislation, and criminal procedures.</w:t>
      </w:r>
    </w:p>
    <w:p w14:paraId="4A7975AC" w14:textId="77777777" w:rsidR="00540988" w:rsidRPr="00540988" w:rsidRDefault="00540988" w:rsidP="0085624E">
      <w:pPr>
        <w:bidi w:val="0"/>
        <w:spacing w:before="240" w:after="0"/>
        <w:jc w:val="lowKashida"/>
        <w:rPr>
          <w:rFonts w:ascii="Sakkal Majalla" w:hAnsi="Sakkal Majalla" w:cs="Sakkal Majalla"/>
          <w:sz w:val="32"/>
          <w:szCs w:val="32"/>
        </w:rPr>
      </w:pPr>
      <w:r w:rsidRPr="00540988">
        <w:rPr>
          <w:rFonts w:ascii="Sakkal Majalla" w:hAnsi="Sakkal Majalla" w:cs="Sakkal Majalla"/>
          <w:sz w:val="32"/>
          <w:szCs w:val="32"/>
        </w:rPr>
        <w:t>Regarding the Kingdom of Bahrain’s counter-terrorism efforts within the framework of alternative sanctions and the open-prison program, the State has adopted an advanced rehabilitative model that complements traditional security measures through specialized programs addressing the psychological, social, and behavioral factors associated with radicalization. Individuals convicted of terrorism and extremism-related offenses are enrolled in rehabilitation programs based on a comprehensive individual risk assessment, rather than solely on the type of offense, ensuring that the measures comply with international human rights obligations and do not compromise the legal safeguards of participants.</w:t>
      </w:r>
    </w:p>
    <w:p w14:paraId="30A423CC" w14:textId="77777777" w:rsidR="00540988" w:rsidRPr="00863B82" w:rsidRDefault="00540988" w:rsidP="0085624E">
      <w:pPr>
        <w:bidi w:val="0"/>
        <w:spacing w:before="240" w:after="0"/>
        <w:jc w:val="lowKashida"/>
        <w:rPr>
          <w:rFonts w:ascii="Sakkal Majalla" w:hAnsi="Sakkal Majalla" w:cs="Sakkal Majalla"/>
          <w:sz w:val="32"/>
          <w:szCs w:val="32"/>
        </w:rPr>
      </w:pPr>
      <w:r w:rsidRPr="00540988">
        <w:rPr>
          <w:rFonts w:ascii="Sakkal Majalla" w:hAnsi="Sakkal Majalla" w:cs="Sakkal Majalla"/>
          <w:sz w:val="32"/>
          <w:szCs w:val="32"/>
        </w:rPr>
        <w:t xml:space="preserve">For low-risk categories, alternative sanctions are applied directly, such as community service with regular follow-up. Medium- and high-risk individuals are directed to the open-prison program, which provides a gradual and secure rehabilitative environment. The program addresses ideological, psychological, value-based, and behavioral indicators through three stages, ranging from in-center rehabilitation to full societal reintegration. These programs aim to address the root causes of extremism through psychological support, intellectual dialogue sessions, national identity building, professional and social skills development, and subsequent follow-up to prevent </w:t>
      </w:r>
      <w:proofErr w:type="gramStart"/>
      <w:r w:rsidRPr="00540988">
        <w:rPr>
          <w:rFonts w:ascii="Sakkal Majalla" w:hAnsi="Sakkal Majalla" w:cs="Sakkal Majalla"/>
          <w:sz w:val="32"/>
          <w:szCs w:val="32"/>
        </w:rPr>
        <w:t>relapse</w:t>
      </w:r>
      <w:proofErr w:type="gramEnd"/>
      <w:r w:rsidRPr="00540988">
        <w:rPr>
          <w:rFonts w:ascii="Sakkal Majalla" w:hAnsi="Sakkal Majalla" w:cs="Sakkal Majalla"/>
          <w:sz w:val="32"/>
          <w:szCs w:val="32"/>
        </w:rPr>
        <w:t>.</w:t>
      </w:r>
    </w:p>
    <w:p w14:paraId="325BE345" w14:textId="77777777" w:rsidR="00B92DA5" w:rsidRPr="00B92DA5" w:rsidRDefault="00B92DA5" w:rsidP="0085624E">
      <w:pPr>
        <w:bidi w:val="0"/>
        <w:spacing w:before="240" w:after="0"/>
        <w:jc w:val="lowKashida"/>
        <w:rPr>
          <w:rFonts w:ascii="Sakkal Majalla" w:hAnsi="Sakkal Majalla" w:cs="Sakkal Majalla"/>
          <w:sz w:val="32"/>
          <w:szCs w:val="32"/>
        </w:rPr>
      </w:pPr>
      <w:r w:rsidRPr="00B92DA5">
        <w:rPr>
          <w:rFonts w:ascii="Sakkal Majalla" w:hAnsi="Sakkal Majalla" w:cs="Sakkal Majalla"/>
          <w:sz w:val="32"/>
          <w:szCs w:val="32"/>
        </w:rPr>
        <w:t xml:space="preserve">Personnel involved in these programs receive specialized training in understanding patterns of violent extremism, crisis management, de-escalation, and monitoring indicators of terrorist </w:t>
      </w:r>
      <w:r w:rsidRPr="00B92DA5">
        <w:rPr>
          <w:rFonts w:ascii="Sakkal Majalla" w:hAnsi="Sakkal Majalla" w:cs="Sakkal Majalla"/>
          <w:sz w:val="32"/>
          <w:szCs w:val="32"/>
        </w:rPr>
        <w:lastRenderedPageBreak/>
        <w:t xml:space="preserve">behavior, ensuring that the measures are implemented in full compliance with human rights standards and preventing any abuses. Consequently, the alternative sanctions and open-prison programs contribute directly to </w:t>
      </w:r>
      <w:proofErr w:type="gramStart"/>
      <w:r w:rsidRPr="00B92DA5">
        <w:rPr>
          <w:rFonts w:ascii="Sakkal Majalla" w:hAnsi="Sakkal Majalla" w:cs="Sakkal Majalla"/>
          <w:sz w:val="32"/>
          <w:szCs w:val="32"/>
        </w:rPr>
        <w:t>counter-terrorism</w:t>
      </w:r>
      <w:proofErr w:type="gramEnd"/>
      <w:r w:rsidRPr="00B92DA5">
        <w:rPr>
          <w:rFonts w:ascii="Sakkal Majalla" w:hAnsi="Sakkal Majalla" w:cs="Sakkal Majalla"/>
          <w:sz w:val="32"/>
          <w:szCs w:val="32"/>
        </w:rPr>
        <w:t xml:space="preserve"> by reducing recidivism, empowering participants, and transforming them into integrated individuals capable of positively contributing to society, while fully safeguarding their legal rights and fundamental guarantees.</w:t>
      </w:r>
    </w:p>
    <w:p w14:paraId="7ADA9EFD" w14:textId="0532CDEE" w:rsidR="007F67CA" w:rsidRPr="007F67CA" w:rsidRDefault="007F67CA"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7F67CA">
        <w:rPr>
          <w:rFonts w:ascii="Sakkal Majalla" w:hAnsi="Sakkal Majalla" w:cs="Sakkal Majalla"/>
          <w:b/>
          <w:bCs/>
          <w:sz w:val="32"/>
          <w:szCs w:val="32"/>
        </w:rPr>
        <w:t xml:space="preserve">Topic </w:t>
      </w:r>
      <w:r w:rsidR="000313D8" w:rsidRPr="00863B82">
        <w:rPr>
          <w:rFonts w:ascii="Sakkal Majalla" w:hAnsi="Sakkal Majalla" w:cs="Sakkal Majalla"/>
          <w:b/>
          <w:bCs/>
          <w:sz w:val="32"/>
          <w:szCs w:val="32"/>
        </w:rPr>
        <w:t>8</w:t>
      </w:r>
      <w:r w:rsidRPr="007F67CA">
        <w:rPr>
          <w:rFonts w:ascii="Sakkal Majalla" w:hAnsi="Sakkal Majalla" w:cs="Sakkal Majalla"/>
          <w:b/>
          <w:bCs/>
          <w:sz w:val="32"/>
          <w:szCs w:val="32"/>
        </w:rPr>
        <w:t>: The Death Penalty</w:t>
      </w:r>
    </w:p>
    <w:p w14:paraId="3981936A" w14:textId="6C7B932A" w:rsidR="00ED2966" w:rsidRPr="00ED2966" w:rsidRDefault="00ED2966" w:rsidP="0085624E">
      <w:pPr>
        <w:bidi w:val="0"/>
        <w:spacing w:before="240" w:after="0"/>
        <w:jc w:val="lowKashida"/>
        <w:rPr>
          <w:rFonts w:ascii="Sakkal Majalla" w:hAnsi="Sakkal Majalla" w:cs="Sakkal Majalla"/>
          <w:sz w:val="32"/>
          <w:szCs w:val="32"/>
        </w:rPr>
      </w:pPr>
      <w:r w:rsidRPr="00ED2966">
        <w:rPr>
          <w:rFonts w:ascii="Sakkal Majalla" w:hAnsi="Sakkal Majalla" w:cs="Sakkal Majalla"/>
          <w:sz w:val="32"/>
          <w:szCs w:val="32"/>
        </w:rPr>
        <w:t xml:space="preserve">The Kingdom of Bahrain emphasizes that the death penalty under its legal system is reserved for the most serious crimes that threaten individual life and </w:t>
      </w:r>
      <w:r w:rsidRPr="00863B82">
        <w:rPr>
          <w:rFonts w:ascii="Sakkal Majalla" w:hAnsi="Sakkal Majalla" w:cs="Sakkal Majalla"/>
          <w:sz w:val="32"/>
          <w:szCs w:val="32"/>
        </w:rPr>
        <w:t>social</w:t>
      </w:r>
      <w:r w:rsidRPr="00ED2966">
        <w:rPr>
          <w:rFonts w:ascii="Sakkal Majalla" w:hAnsi="Sakkal Majalla" w:cs="Sakkal Majalla"/>
          <w:sz w:val="32"/>
          <w:szCs w:val="32"/>
        </w:rPr>
        <w:t xml:space="preserve"> security. Bahraini legislation surrounds this punishment with strict safeguards from the moment of investigation until execution. A death sentence may only be issued unanimously by the judges, after the accused has been fully allowed to defend themselves with legal counsel, including the appointment of a state-provided lawyer if needed.</w:t>
      </w:r>
    </w:p>
    <w:p w14:paraId="3B0113D6" w14:textId="77777777" w:rsidR="00ED2966" w:rsidRPr="00863B82" w:rsidRDefault="00ED2966" w:rsidP="0085624E">
      <w:pPr>
        <w:bidi w:val="0"/>
        <w:spacing w:before="240" w:after="0"/>
        <w:jc w:val="lowKashida"/>
        <w:rPr>
          <w:rFonts w:ascii="Sakkal Majalla" w:hAnsi="Sakkal Majalla" w:cs="Sakkal Majalla"/>
          <w:sz w:val="32"/>
          <w:szCs w:val="32"/>
        </w:rPr>
      </w:pPr>
      <w:r w:rsidRPr="00ED2966">
        <w:rPr>
          <w:rFonts w:ascii="Sakkal Majalla" w:hAnsi="Sakkal Majalla" w:cs="Sakkal Majalla"/>
          <w:sz w:val="32"/>
          <w:szCs w:val="32"/>
        </w:rPr>
        <w:t xml:space="preserve">All death sentences are mandatorily reviewed by the Court of Cassation both legally and substantively, and the court has the authority to overturn or re-examine a sentence with a different panel if errors in law application, reasoning deficiencies, or flawed evidence are identified. Execution of the death penalty is carried out only after the ratification of His Majesty the King, who also holds the power to grant pardon or reduce the sentence. Death sentences in Bahrain are extremely rare, as the law provides judges with the discretion to choose between the death penalty and other custodial sentences, and to reduce the sentence </w:t>
      </w:r>
      <w:proofErr w:type="gramStart"/>
      <w:r w:rsidRPr="00ED2966">
        <w:rPr>
          <w:rFonts w:ascii="Sakkal Majalla" w:hAnsi="Sakkal Majalla" w:cs="Sakkal Majalla"/>
          <w:sz w:val="32"/>
          <w:szCs w:val="32"/>
        </w:rPr>
        <w:t>in light of</w:t>
      </w:r>
      <w:proofErr w:type="gramEnd"/>
      <w:r w:rsidRPr="00ED2966">
        <w:rPr>
          <w:rFonts w:ascii="Sakkal Majalla" w:hAnsi="Sakkal Majalla" w:cs="Sakkal Majalla"/>
          <w:sz w:val="32"/>
          <w:szCs w:val="32"/>
        </w:rPr>
        <w:t xml:space="preserve"> humanitarian and judicial considerations.</w:t>
      </w:r>
    </w:p>
    <w:p w14:paraId="29483ABB" w14:textId="77777777" w:rsidR="00B40318" w:rsidRPr="00B40318" w:rsidRDefault="00B40318" w:rsidP="0085624E">
      <w:pPr>
        <w:bidi w:val="0"/>
        <w:spacing w:before="240" w:after="0"/>
        <w:jc w:val="lowKashida"/>
        <w:rPr>
          <w:rFonts w:ascii="Sakkal Majalla" w:hAnsi="Sakkal Majalla" w:cs="Sakkal Majalla"/>
          <w:sz w:val="32"/>
          <w:szCs w:val="32"/>
        </w:rPr>
      </w:pPr>
      <w:r w:rsidRPr="00B40318">
        <w:rPr>
          <w:rFonts w:ascii="Sakkal Majalla" w:hAnsi="Sakkal Majalla" w:cs="Sakkal Majalla"/>
          <w:sz w:val="32"/>
          <w:szCs w:val="32"/>
        </w:rPr>
        <w:t xml:space="preserve">Criminal justice in the Kingdom of Bahrain is founded on a well-established approach that emphasizes the legality of evidence and the independence of the judiciary in forming its judgments. No verdict in any case is based solely on confessions; rather, it relies on conclusive </w:t>
      </w:r>
      <w:r w:rsidRPr="00B40318">
        <w:rPr>
          <w:rFonts w:ascii="Sakkal Majalla" w:hAnsi="Sakkal Majalla" w:cs="Sakkal Majalla"/>
          <w:sz w:val="32"/>
          <w:szCs w:val="32"/>
        </w:rPr>
        <w:lastRenderedPageBreak/>
        <w:t>material and technical evidence obtained through procedures that fully respect the guarantees of justice.</w:t>
      </w:r>
    </w:p>
    <w:p w14:paraId="5301E525" w14:textId="77777777" w:rsidR="00B40318" w:rsidRPr="00863B82" w:rsidRDefault="00B40318" w:rsidP="0085624E">
      <w:pPr>
        <w:bidi w:val="0"/>
        <w:spacing w:before="240" w:after="0"/>
        <w:jc w:val="lowKashida"/>
        <w:rPr>
          <w:rFonts w:ascii="Sakkal Majalla" w:hAnsi="Sakkal Majalla" w:cs="Sakkal Majalla"/>
          <w:sz w:val="32"/>
          <w:szCs w:val="32"/>
        </w:rPr>
      </w:pPr>
      <w:r w:rsidRPr="00B40318">
        <w:rPr>
          <w:rFonts w:ascii="Sakkal Majalla" w:hAnsi="Sakkal Majalla" w:cs="Sakkal Majalla"/>
          <w:sz w:val="32"/>
          <w:szCs w:val="32"/>
        </w:rPr>
        <w:t>In this context, the Public Prosecution has established a specialized Department for Physical Evidence, tasked with collecting and analyzing evidence using modern scientific methods, ensuring the integrity of the evidentiary process and reinforcing reliance on impartial technical evidence as a cornerstone for ascertaining the truth.</w:t>
      </w:r>
    </w:p>
    <w:p w14:paraId="0B075615" w14:textId="43BA8303" w:rsidR="00AF20B1" w:rsidRPr="00863B82" w:rsidRDefault="00AF20B1" w:rsidP="0085624E">
      <w:pPr>
        <w:bidi w:val="0"/>
        <w:spacing w:before="240" w:after="0"/>
        <w:jc w:val="lowKashida"/>
        <w:rPr>
          <w:rFonts w:ascii="Sakkal Majalla" w:hAnsi="Sakkal Majalla" w:cs="Sakkal Majalla"/>
          <w:sz w:val="32"/>
          <w:szCs w:val="32"/>
          <w:rtl/>
        </w:rPr>
      </w:pPr>
      <w:r w:rsidRPr="00863B82">
        <w:rPr>
          <w:rFonts w:ascii="Sakkal Majalla" w:hAnsi="Sakkal Majalla" w:cs="Sakkal Majalla"/>
          <w:sz w:val="32"/>
          <w:szCs w:val="32"/>
        </w:rPr>
        <w:t>The Bahraini Court of Cassation has affirmed this approach in its established rulings, including Judgment No. (385) of 2021 (session of April 18, 2022), which stipulated that a confession alone cannot form the basis for a conviction unless it is corroborated by material and technical evidence that satisfies the court. This principle constitutes a fundamental safeguard against any possibility of coercion or infringement of the rights of the defense.</w:t>
      </w:r>
    </w:p>
    <w:p w14:paraId="22C1606E" w14:textId="337E184E" w:rsidR="00AF20B1" w:rsidRPr="00863B82" w:rsidRDefault="00AF20B1"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In further affirmation of the principle of the best interests of the child, the Juvenile Justice and Protection from Abuse Law established a special system for dealing with children in conflict with the law, based on care and rehabilitation rather than punishment. It raised the age of criminal responsibility to eighteen years and permanently abolished the death penalty for those under this age, thus embodying the Kingdom of Bahrain's commitment to the principles of restorative justice and the protection of children's rights.</w:t>
      </w:r>
    </w:p>
    <w:p w14:paraId="51CF1CEF" w14:textId="47F4117B" w:rsidR="001C7462" w:rsidRPr="001C7462" w:rsidRDefault="001C7462" w:rsidP="0085624E">
      <w:pPr>
        <w:bidi w:val="0"/>
        <w:spacing w:before="240" w:after="0"/>
        <w:jc w:val="lowKashida"/>
        <w:rPr>
          <w:rFonts w:ascii="Sakkal Majalla" w:hAnsi="Sakkal Majalla" w:cs="Sakkal Majalla"/>
          <w:sz w:val="32"/>
          <w:szCs w:val="32"/>
        </w:rPr>
      </w:pPr>
      <w:r w:rsidRPr="001C7462">
        <w:rPr>
          <w:rFonts w:ascii="Sakkal Majalla" w:hAnsi="Sakkal Majalla" w:cs="Sakkal Majalla"/>
          <w:sz w:val="32"/>
          <w:szCs w:val="32"/>
        </w:rPr>
        <w:t>Regarding the cases for which inquiries were submitted by certain Special Procedures mandate holders, specifically letter UA BHR 4/2020 dated 29 July 2020, the Kingdom of Bahrain affirms that the judgments issued did not rely solely on confessions. Rather, they were based on a range of material evidence, including the content of text messages found on the defendants’ mobile phones.</w:t>
      </w:r>
      <w:r w:rsidR="00DE51F8" w:rsidRPr="00863B82">
        <w:rPr>
          <w:rFonts w:ascii="Sakkal Majalla" w:hAnsi="Sakkal Majalla" w:cs="Sakkal Majalla"/>
          <w:sz w:val="32"/>
          <w:szCs w:val="32"/>
        </w:rPr>
        <w:t xml:space="preserve"> </w:t>
      </w:r>
      <w:r w:rsidRPr="001C7462">
        <w:rPr>
          <w:rFonts w:ascii="Sakkal Majalla" w:hAnsi="Sakkal Majalla" w:cs="Sakkal Majalla"/>
          <w:sz w:val="32"/>
          <w:szCs w:val="32"/>
        </w:rPr>
        <w:t xml:space="preserve">Furthermore, the official response submitted by the Special Investigation Unit provided detailed information on the investigations into the allegations of torture, outlining the measures </w:t>
      </w:r>
      <w:r w:rsidRPr="001C7462">
        <w:rPr>
          <w:rFonts w:ascii="Sakkal Majalla" w:hAnsi="Sakkal Majalla" w:cs="Sakkal Majalla"/>
          <w:sz w:val="32"/>
          <w:szCs w:val="32"/>
        </w:rPr>
        <w:lastRenderedPageBreak/>
        <w:t>taken to ensure the integrity of the investigations and the legal safeguards respected at all stages of the proceedings.</w:t>
      </w:r>
    </w:p>
    <w:p w14:paraId="7FC25C82" w14:textId="00B6AE41" w:rsidR="000313D8" w:rsidRPr="00863B82" w:rsidRDefault="000313D8"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b/>
          <w:bCs/>
          <w:sz w:val="32"/>
          <w:szCs w:val="32"/>
        </w:rPr>
      </w:pPr>
      <w:r w:rsidRPr="000313D8">
        <w:rPr>
          <w:rFonts w:ascii="Sakkal Majalla" w:hAnsi="Sakkal Majalla" w:cs="Sakkal Majalla"/>
          <w:b/>
          <w:bCs/>
          <w:sz w:val="32"/>
          <w:szCs w:val="32"/>
        </w:rPr>
        <w:t xml:space="preserve">Topic </w:t>
      </w:r>
      <w:r w:rsidRPr="00863B82">
        <w:rPr>
          <w:rFonts w:ascii="Sakkal Majalla" w:hAnsi="Sakkal Majalla" w:cs="Sakkal Majalla"/>
          <w:b/>
          <w:bCs/>
          <w:sz w:val="32"/>
          <w:szCs w:val="32"/>
        </w:rPr>
        <w:t>9</w:t>
      </w:r>
      <w:r w:rsidRPr="000313D8">
        <w:rPr>
          <w:rFonts w:ascii="Sakkal Majalla" w:hAnsi="Sakkal Majalla" w:cs="Sakkal Majalla"/>
          <w:b/>
          <w:bCs/>
          <w:sz w:val="32"/>
          <w:szCs w:val="32"/>
        </w:rPr>
        <w:t>: Military Justice and the Trial of Civilians</w:t>
      </w:r>
    </w:p>
    <w:p w14:paraId="5A0E36D2" w14:textId="77777777" w:rsidR="00713784" w:rsidRPr="00713784" w:rsidRDefault="00713784" w:rsidP="0085624E">
      <w:pPr>
        <w:bidi w:val="0"/>
        <w:spacing w:before="240" w:after="0"/>
        <w:jc w:val="lowKashida"/>
        <w:rPr>
          <w:rFonts w:ascii="Sakkal Majalla" w:hAnsi="Sakkal Majalla" w:cs="Sakkal Majalla"/>
          <w:sz w:val="32"/>
          <w:szCs w:val="32"/>
        </w:rPr>
      </w:pPr>
      <w:r w:rsidRPr="00713784">
        <w:rPr>
          <w:rFonts w:ascii="Sakkal Majalla" w:hAnsi="Sakkal Majalla" w:cs="Sakkal Majalla"/>
          <w:sz w:val="32"/>
          <w:szCs w:val="32"/>
        </w:rPr>
        <w:t>The Kingdom of Bahrain affirms that military courts are independent and operate permanently within the framework of the law, ensuring all judicial guarantees for defendants.</w:t>
      </w:r>
    </w:p>
    <w:p w14:paraId="6E5A0914" w14:textId="77777777" w:rsidR="00713784" w:rsidRPr="00713784" w:rsidRDefault="00713784" w:rsidP="0085624E">
      <w:pPr>
        <w:bidi w:val="0"/>
        <w:spacing w:before="240" w:after="0"/>
        <w:jc w:val="lowKashida"/>
        <w:rPr>
          <w:rFonts w:ascii="Sakkal Majalla" w:hAnsi="Sakkal Majalla" w:cs="Sakkal Majalla"/>
          <w:sz w:val="32"/>
          <w:szCs w:val="32"/>
        </w:rPr>
      </w:pPr>
      <w:r w:rsidRPr="00713784">
        <w:rPr>
          <w:rFonts w:ascii="Sakkal Majalla" w:hAnsi="Sakkal Majalla" w:cs="Sakkal Majalla"/>
          <w:sz w:val="32"/>
          <w:szCs w:val="32"/>
        </w:rPr>
        <w:t>In this context, reference is made to the Human Rights Committee’s General Comment No. 32 on Article 14 of the International Covenant on Civil and Political Rights, adopted at its 90th session (Geneva, 9–27 July 2007), which states that the Covenant does not prohibit the trial of civilians before military courts when there are genuine and serious reasons, provided that the trial meets the requirements set out in Article 14.</w:t>
      </w:r>
    </w:p>
    <w:p w14:paraId="0F1B2899" w14:textId="77777777" w:rsidR="00713784" w:rsidRPr="00863B82" w:rsidRDefault="00713784" w:rsidP="0085624E">
      <w:pPr>
        <w:bidi w:val="0"/>
        <w:spacing w:before="240" w:after="0"/>
        <w:jc w:val="lowKashida"/>
        <w:rPr>
          <w:rFonts w:ascii="Sakkal Majalla" w:hAnsi="Sakkal Majalla" w:cs="Sakkal Majalla"/>
          <w:sz w:val="32"/>
          <w:szCs w:val="32"/>
        </w:rPr>
      </w:pPr>
      <w:r w:rsidRPr="00713784">
        <w:rPr>
          <w:rFonts w:ascii="Sakkal Majalla" w:hAnsi="Sakkal Majalla" w:cs="Sakkal Majalla"/>
          <w:sz w:val="32"/>
          <w:szCs w:val="32"/>
        </w:rPr>
        <w:t>Accordingly, Bahrain’s military courts fulfill all the conditions of fair trial guarantees, ensuring the rights under Article 14 of the Covenant, including the right to a prompt trial, the right to be present and have public hearings before a competent, independent, and impartial court, the right to defense and legal representation, and access to multiple levels of appeal, including appellate and cassation review, in a manner equivalent to civilian courts.</w:t>
      </w:r>
    </w:p>
    <w:p w14:paraId="1BFA47F5" w14:textId="77777777" w:rsidR="00AC276F" w:rsidRPr="00AC276F" w:rsidRDefault="00AC276F" w:rsidP="0085624E">
      <w:pPr>
        <w:bidi w:val="0"/>
        <w:spacing w:before="240" w:after="0"/>
        <w:jc w:val="lowKashida"/>
        <w:rPr>
          <w:rFonts w:ascii="Sakkal Majalla" w:hAnsi="Sakkal Majalla" w:cs="Sakkal Majalla"/>
          <w:sz w:val="32"/>
          <w:szCs w:val="32"/>
        </w:rPr>
      </w:pPr>
      <w:r w:rsidRPr="00AC276F">
        <w:rPr>
          <w:rFonts w:ascii="Sakkal Majalla" w:hAnsi="Sakkal Majalla" w:cs="Sakkal Majalla"/>
          <w:sz w:val="32"/>
          <w:szCs w:val="32"/>
        </w:rPr>
        <w:t xml:space="preserve">Bahrain emphasizes that the trial of civilians before military courts </w:t>
      </w:r>
      <w:proofErr w:type="gramStart"/>
      <w:r w:rsidRPr="00AC276F">
        <w:rPr>
          <w:rFonts w:ascii="Sakkal Majalla" w:hAnsi="Sakkal Majalla" w:cs="Sakkal Majalla"/>
          <w:sz w:val="32"/>
          <w:szCs w:val="32"/>
        </w:rPr>
        <w:t>occurs</w:t>
      </w:r>
      <w:proofErr w:type="gramEnd"/>
      <w:r w:rsidRPr="00AC276F">
        <w:rPr>
          <w:rFonts w:ascii="Sakkal Majalla" w:hAnsi="Sakkal Majalla" w:cs="Sakkal Majalla"/>
          <w:sz w:val="32"/>
          <w:szCs w:val="32"/>
        </w:rPr>
        <w:t xml:space="preserve"> only exceptionally, and for serious and well-founded reasons, such as grave terrorist offenses affecting the armed forces, crimes committed on military facilities, or acts occurring during external armed terrorist operations. This jurisdiction has been exercised in extremely limited cases, and military courts have allowed such cases to be referred to the civilian judiciary.</w:t>
      </w:r>
    </w:p>
    <w:p w14:paraId="6BA7486F" w14:textId="77777777" w:rsidR="00AC276F" w:rsidRPr="00863B82" w:rsidRDefault="00AC276F" w:rsidP="0085624E">
      <w:pPr>
        <w:bidi w:val="0"/>
        <w:spacing w:before="240" w:after="0"/>
        <w:jc w:val="lowKashida"/>
        <w:rPr>
          <w:rFonts w:ascii="Sakkal Majalla" w:hAnsi="Sakkal Majalla" w:cs="Sakkal Majalla"/>
          <w:sz w:val="32"/>
          <w:szCs w:val="32"/>
        </w:rPr>
      </w:pPr>
      <w:r w:rsidRPr="00AC276F">
        <w:rPr>
          <w:rFonts w:ascii="Sakkal Majalla" w:hAnsi="Sakkal Majalla" w:cs="Sakkal Majalla"/>
          <w:sz w:val="32"/>
          <w:szCs w:val="32"/>
        </w:rPr>
        <w:t xml:space="preserve">In this context, it is noteworthy that all cases heard before the National Safety Courts in 2011 were subsequently reviewed by the civilian courts through all levels of appeal (appellate and </w:t>
      </w:r>
      <w:r w:rsidRPr="00AC276F">
        <w:rPr>
          <w:rFonts w:ascii="Sakkal Majalla" w:hAnsi="Sakkal Majalla" w:cs="Sakkal Majalla"/>
          <w:sz w:val="32"/>
          <w:szCs w:val="32"/>
        </w:rPr>
        <w:lastRenderedPageBreak/>
        <w:t>cassation) in accordance with Decree-Law No. (28) of 2011. Consequently, the judgments issued by the National Safety Courts were subject to full civilian judicial review, and in practice and law, these judgments are considered as rendered by the civilian judiciary.</w:t>
      </w:r>
    </w:p>
    <w:p w14:paraId="1D37949C" w14:textId="3E49E4BF" w:rsidR="00CA348D" w:rsidRPr="00863B82" w:rsidRDefault="00FC4DBE"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b/>
          <w:bCs/>
          <w:sz w:val="32"/>
          <w:szCs w:val="32"/>
        </w:rPr>
      </w:pPr>
      <w:r w:rsidRPr="00863B82">
        <w:rPr>
          <w:rFonts w:ascii="Sakkal Majalla" w:hAnsi="Sakkal Majalla" w:cs="Sakkal Majalla"/>
          <w:b/>
          <w:bCs/>
          <w:sz w:val="32"/>
          <w:szCs w:val="32"/>
        </w:rPr>
        <w:t xml:space="preserve">Topic 10: Training and Capacity Building </w:t>
      </w:r>
    </w:p>
    <w:p w14:paraId="69DA3673" w14:textId="77777777" w:rsidR="00BE7CA5" w:rsidRPr="00BE7CA5" w:rsidRDefault="00BE7CA5" w:rsidP="0085624E">
      <w:pPr>
        <w:bidi w:val="0"/>
        <w:spacing w:before="240" w:after="0"/>
        <w:jc w:val="lowKashida"/>
        <w:rPr>
          <w:rFonts w:ascii="Sakkal Majalla" w:hAnsi="Sakkal Majalla" w:cs="Sakkal Majalla"/>
          <w:sz w:val="32"/>
          <w:szCs w:val="32"/>
        </w:rPr>
      </w:pPr>
      <w:r w:rsidRPr="00BE7CA5">
        <w:rPr>
          <w:rFonts w:ascii="Sakkal Majalla" w:hAnsi="Sakkal Majalla" w:cs="Sakkal Majalla"/>
          <w:sz w:val="32"/>
          <w:szCs w:val="32"/>
        </w:rPr>
        <w:t>Bahrain is keen on developing national capacities and enhancing the skills of personnel in law enforcement, criminal justice, and human rights, believing that building institutional and human capacities is a fundamental pillar for ensuring the effective implementation of legal safeguards and the principles of justice.</w:t>
      </w:r>
    </w:p>
    <w:p w14:paraId="7367B7FF" w14:textId="77777777" w:rsidR="00BE7CA5" w:rsidRPr="00BE7CA5" w:rsidRDefault="00BE7CA5" w:rsidP="0085624E">
      <w:pPr>
        <w:bidi w:val="0"/>
        <w:spacing w:before="240" w:after="0"/>
        <w:jc w:val="lowKashida"/>
        <w:rPr>
          <w:rFonts w:ascii="Sakkal Majalla" w:hAnsi="Sakkal Majalla" w:cs="Sakkal Majalla"/>
          <w:sz w:val="32"/>
          <w:szCs w:val="32"/>
        </w:rPr>
      </w:pPr>
      <w:r w:rsidRPr="00BE7CA5">
        <w:rPr>
          <w:rFonts w:ascii="Sakkal Majalla" w:hAnsi="Sakkal Majalla" w:cs="Sakkal Majalla"/>
          <w:sz w:val="32"/>
          <w:szCs w:val="32"/>
        </w:rPr>
        <w:t xml:space="preserve">Within this commitment to the provisions of the Convention, the Ministry of Interior places great emphasis on strengthening the capabilities of its personnel and other law enforcement agencies through specialized training programs and courses. These programs aim to raise their legal and rights-based awareness, particularly regarding the prohibition of torture and </w:t>
      </w:r>
      <w:proofErr w:type="gramStart"/>
      <w:r w:rsidRPr="00BE7CA5">
        <w:rPr>
          <w:rFonts w:ascii="Sakkal Majalla" w:hAnsi="Sakkal Majalla" w:cs="Sakkal Majalla"/>
          <w:sz w:val="32"/>
          <w:szCs w:val="32"/>
        </w:rPr>
        <w:t>the respect</w:t>
      </w:r>
      <w:proofErr w:type="gramEnd"/>
      <w:r w:rsidRPr="00BE7CA5">
        <w:rPr>
          <w:rFonts w:ascii="Sakkal Majalla" w:hAnsi="Sakkal Majalla" w:cs="Sakkal Majalla"/>
          <w:sz w:val="32"/>
          <w:szCs w:val="32"/>
        </w:rPr>
        <w:t xml:space="preserve"> for human dignity during arrest and detention procedures. The Ministry also ensures the integration of the Convention’s concepts into the curricula and programs offered at the Royal Police Academy, thereby promoting a culture of human rights within police work and ensuring the practical application of international standards in policing.</w:t>
      </w:r>
    </w:p>
    <w:p w14:paraId="6D0AAE77" w14:textId="77777777" w:rsidR="00BE7CA5" w:rsidRPr="00863B82" w:rsidRDefault="00BE7CA5" w:rsidP="0085624E">
      <w:pPr>
        <w:bidi w:val="0"/>
        <w:spacing w:before="240" w:after="0"/>
        <w:jc w:val="lowKashida"/>
        <w:rPr>
          <w:rFonts w:ascii="Sakkal Majalla" w:hAnsi="Sakkal Majalla" w:cs="Sakkal Majalla"/>
          <w:sz w:val="32"/>
          <w:szCs w:val="32"/>
        </w:rPr>
      </w:pPr>
      <w:r w:rsidRPr="00BE7CA5">
        <w:rPr>
          <w:rFonts w:ascii="Sakkal Majalla" w:hAnsi="Sakkal Majalla" w:cs="Sakkal Majalla"/>
          <w:sz w:val="32"/>
          <w:szCs w:val="32"/>
        </w:rPr>
        <w:t xml:space="preserve">The Ministry of Interior further seeks to enhance awareness in the field of human rights through both theoretical materials and practical training, as well as through overseas missions, ensuring that personnel carry out their duties and their noble mission to protect the homeland, maintain the security and safety of citizens and residents, in full compliance with the law and the principles of justice. This commitment is reflected in </w:t>
      </w:r>
      <w:proofErr w:type="gramStart"/>
      <w:r w:rsidRPr="00BE7CA5">
        <w:rPr>
          <w:rFonts w:ascii="Sakkal Majalla" w:hAnsi="Sakkal Majalla" w:cs="Sakkal Majalla"/>
          <w:sz w:val="32"/>
          <w:szCs w:val="32"/>
        </w:rPr>
        <w:t>a number of</w:t>
      </w:r>
      <w:proofErr w:type="gramEnd"/>
      <w:r w:rsidRPr="00BE7CA5">
        <w:rPr>
          <w:rFonts w:ascii="Sakkal Majalla" w:hAnsi="Sakkal Majalla" w:cs="Sakkal Majalla"/>
          <w:sz w:val="32"/>
          <w:szCs w:val="32"/>
        </w:rPr>
        <w:t xml:space="preserve"> programs implemented at the Royal Police Academy, such as:</w:t>
      </w:r>
    </w:p>
    <w:p w14:paraId="4B2441D4" w14:textId="2A7078C6" w:rsidR="00750EF3" w:rsidRPr="00863B82" w:rsidRDefault="007E5967"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lastRenderedPageBreak/>
        <w:t>Including a c</w:t>
      </w:r>
      <w:r w:rsidR="00750EF3" w:rsidRPr="00863B82">
        <w:rPr>
          <w:rFonts w:ascii="Sakkal Majalla" w:hAnsi="Sakkal Majalla" w:cs="Sakkal Majalla"/>
          <w:sz w:val="32"/>
          <w:szCs w:val="32"/>
        </w:rPr>
        <w:t xml:space="preserve">ore </w:t>
      </w:r>
      <w:r w:rsidRPr="00863B82">
        <w:rPr>
          <w:rFonts w:ascii="Sakkal Majalla" w:hAnsi="Sakkal Majalla" w:cs="Sakkal Majalla"/>
          <w:sz w:val="32"/>
          <w:szCs w:val="32"/>
        </w:rPr>
        <w:t>c</w:t>
      </w:r>
      <w:r w:rsidR="00750EF3" w:rsidRPr="00863B82">
        <w:rPr>
          <w:rFonts w:ascii="Sakkal Majalla" w:hAnsi="Sakkal Majalla" w:cs="Sakkal Majalla"/>
          <w:sz w:val="32"/>
          <w:szCs w:val="32"/>
        </w:rPr>
        <w:t xml:space="preserve">ourse in </w:t>
      </w:r>
      <w:r w:rsidRPr="00863B82">
        <w:rPr>
          <w:rFonts w:ascii="Sakkal Majalla" w:hAnsi="Sakkal Majalla" w:cs="Sakkal Majalla"/>
          <w:sz w:val="32"/>
          <w:szCs w:val="32"/>
        </w:rPr>
        <w:t>Master’s</w:t>
      </w:r>
      <w:r w:rsidR="00750EF3" w:rsidRPr="00863B82">
        <w:rPr>
          <w:rFonts w:ascii="Sakkal Majalla" w:hAnsi="Sakkal Majalla" w:cs="Sakkal Majalla"/>
          <w:sz w:val="32"/>
          <w:szCs w:val="32"/>
        </w:rPr>
        <w:t xml:space="preserve"> and Criminal, Administrative, and Security Sciences Programs</w:t>
      </w:r>
      <w:r w:rsidR="00860BB2" w:rsidRPr="00863B82">
        <w:rPr>
          <w:rFonts w:ascii="Sakkal Majalla" w:hAnsi="Sakkal Majalla" w:cs="Sakkal Majalla"/>
          <w:sz w:val="32"/>
          <w:szCs w:val="32"/>
        </w:rPr>
        <w:t>, f</w:t>
      </w:r>
      <w:r w:rsidR="00750EF3" w:rsidRPr="00863B82">
        <w:rPr>
          <w:rFonts w:ascii="Sakkal Majalla" w:hAnsi="Sakkal Majalla" w:cs="Sakkal Majalla"/>
          <w:sz w:val="32"/>
          <w:szCs w:val="32"/>
        </w:rPr>
        <w:t>ocus</w:t>
      </w:r>
      <w:r w:rsidR="00860BB2" w:rsidRPr="00863B82">
        <w:rPr>
          <w:rFonts w:ascii="Sakkal Majalla" w:hAnsi="Sakkal Majalla" w:cs="Sakkal Majalla"/>
          <w:sz w:val="32"/>
          <w:szCs w:val="32"/>
        </w:rPr>
        <w:t>inhg</w:t>
      </w:r>
      <w:r w:rsidR="00750EF3" w:rsidRPr="00863B82">
        <w:rPr>
          <w:rFonts w:ascii="Sakkal Majalla" w:hAnsi="Sakkal Majalla" w:cs="Sakkal Majalla"/>
          <w:sz w:val="32"/>
          <w:szCs w:val="32"/>
        </w:rPr>
        <w:t xml:space="preserve"> on the protection of human rights under international law and international humanitarian law, and on security performance standards, emphasizing constitutional, legal, and judicial safeguards.</w:t>
      </w:r>
    </w:p>
    <w:p w14:paraId="48FE33FD" w14:textId="64486F6E"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Postgraduate Program – </w:t>
      </w:r>
      <w:proofErr w:type="gramStart"/>
      <w:r w:rsidRPr="00863B82">
        <w:rPr>
          <w:rFonts w:ascii="Sakkal Majalla" w:hAnsi="Sakkal Majalla" w:cs="Sakkal Majalla"/>
          <w:sz w:val="32"/>
          <w:szCs w:val="32"/>
        </w:rPr>
        <w:t>Master’s in Human</w:t>
      </w:r>
      <w:proofErr w:type="gramEnd"/>
      <w:r w:rsidRPr="00863B82">
        <w:rPr>
          <w:rFonts w:ascii="Sakkal Majalla" w:hAnsi="Sakkal Majalla" w:cs="Sakkal Majalla"/>
          <w:sz w:val="32"/>
          <w:szCs w:val="32"/>
        </w:rPr>
        <w:t xml:space="preserve"> Rights and Justice: Established in collaboration with the University of Huddersfield.</w:t>
      </w:r>
    </w:p>
    <w:p w14:paraId="5B1D3FCF" w14:textId="49E7B8C2"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Diploma in Human Rights: Conducted over a full academic year.</w:t>
      </w:r>
    </w:p>
    <w:p w14:paraId="0C25CC4F" w14:textId="3E635D7E"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Special Diploma for </w:t>
      </w:r>
      <w:r w:rsidR="00860BB2" w:rsidRPr="00863B82">
        <w:rPr>
          <w:rFonts w:ascii="Sakkal Majalla" w:hAnsi="Sakkal Majalla" w:cs="Sakkal Majalla"/>
          <w:sz w:val="32"/>
          <w:szCs w:val="32"/>
        </w:rPr>
        <w:t>Reform</w:t>
      </w:r>
      <w:r w:rsidRPr="00863B82">
        <w:rPr>
          <w:rFonts w:ascii="Sakkal Majalla" w:hAnsi="Sakkal Majalla" w:cs="Sakkal Majalla"/>
          <w:sz w:val="32"/>
          <w:szCs w:val="32"/>
        </w:rPr>
        <w:t xml:space="preserve"> Institutions: A joint diploma specific to Reform and Rehabilitation Institutions, conducted over one and a half years.</w:t>
      </w:r>
    </w:p>
    <w:p w14:paraId="211B9997" w14:textId="16E0898C"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Annual Training Plan at the Royal Academy of Police: Includes a series of courses aimed at training Public Security forces in human rights.</w:t>
      </w:r>
    </w:p>
    <w:p w14:paraId="3ADFF3BF" w14:textId="3F096ACB"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National Project on Capacity Building in Law Enforcement and Correctional Justice: Implemented by the Royal Academy of Police within the framework of the National Human Rights Plan (2022–2026), benefiting 673 participants.</w:t>
      </w:r>
    </w:p>
    <w:p w14:paraId="3C96C193" w14:textId="6752CAA8"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Workshops in Coordination with the International Committee of the Red Cross: Organized by the General Directorate of Reform and Rehabilitation for officers, heads, and directors of Reform and Rehabilitation Institutions.</w:t>
      </w:r>
    </w:p>
    <w:p w14:paraId="7E8D0069" w14:textId="169329FF" w:rsidR="00750EF3" w:rsidRPr="00863B82" w:rsidRDefault="00750EF3" w:rsidP="0085624E">
      <w:pPr>
        <w:pStyle w:val="ListParagraph"/>
        <w:numPr>
          <w:ilvl w:val="0"/>
          <w:numId w:val="6"/>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Lectures for Institutional Staff: Covered instructions, duties, and proper treatment of inmates and detainees in accordance with human rights standards.</w:t>
      </w:r>
    </w:p>
    <w:p w14:paraId="31A5850E" w14:textId="792A9B35" w:rsidR="00FC4DBE" w:rsidRPr="00AC276F" w:rsidRDefault="00753555"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Regarding training programs, the Ministry of Interior organizes courses for its personnel on human rights topics and promotes awareness through preventive measures by enhancing the scientific and cultural competencies of law enforcement officers. The Royal Academy of Police raises awareness of the rights enshrined in international and national laws and conventions by conducting numerous academic events, including conferences, courses, and workshops, with </w:t>
      </w:r>
      <w:r w:rsidRPr="00863B82">
        <w:rPr>
          <w:rFonts w:ascii="Sakkal Majalla" w:hAnsi="Sakkal Majalla" w:cs="Sakkal Majalla"/>
          <w:sz w:val="32"/>
          <w:szCs w:val="32"/>
        </w:rPr>
        <w:lastRenderedPageBreak/>
        <w:t>participation from all segments of society and relevant institutions. The Academy also ensures the broad dissemination of the Police Code of Conduct.</w:t>
      </w:r>
    </w:p>
    <w:p w14:paraId="53DEE3CD" w14:textId="6C2CA910" w:rsidR="00754B46" w:rsidRPr="00754B46" w:rsidRDefault="00754B46" w:rsidP="0085624E">
      <w:pPr>
        <w:bidi w:val="0"/>
        <w:spacing w:before="240" w:after="0"/>
        <w:jc w:val="lowKashida"/>
        <w:rPr>
          <w:rFonts w:ascii="Sakkal Majalla" w:hAnsi="Sakkal Majalla" w:cs="Sakkal Majalla"/>
          <w:sz w:val="32"/>
          <w:szCs w:val="32"/>
        </w:rPr>
      </w:pPr>
      <w:r w:rsidRPr="00754B46">
        <w:rPr>
          <w:rFonts w:ascii="Sakkal Majalla" w:hAnsi="Sakkal Majalla" w:cs="Sakkal Majalla"/>
          <w:sz w:val="32"/>
          <w:szCs w:val="32"/>
        </w:rPr>
        <w:t xml:space="preserve">The General Directorate for the Implementation of Sentences and Alternative </w:t>
      </w:r>
      <w:r w:rsidRPr="00863B82">
        <w:rPr>
          <w:rFonts w:ascii="Sakkal Majalla" w:hAnsi="Sakkal Majalla" w:cs="Sakkal Majalla"/>
          <w:sz w:val="32"/>
          <w:szCs w:val="32"/>
        </w:rPr>
        <w:t>Sanctions</w:t>
      </w:r>
      <w:r w:rsidRPr="00754B46">
        <w:rPr>
          <w:rFonts w:ascii="Sakkal Majalla" w:hAnsi="Sakkal Majalla" w:cs="Sakkal Majalla"/>
          <w:sz w:val="32"/>
          <w:szCs w:val="32"/>
        </w:rPr>
        <w:t xml:space="preserve"> at the Ministry of Interior has developed specialized, sequential training programs to enhance the preparedness of officers and staff in handling vulnerable groups, including victims of domestic violence. These programs include regular courses in mental health, social rehabilitation, and management of behavioral disorders, conducted in collaboration with national institutions such as </w:t>
      </w:r>
      <w:r w:rsidR="00B65CBE" w:rsidRPr="00863B82">
        <w:rPr>
          <w:rFonts w:ascii="Sakkal Majalla" w:hAnsi="Sakkal Majalla" w:cs="Sakkal Majalla"/>
          <w:sz w:val="32"/>
          <w:szCs w:val="32"/>
        </w:rPr>
        <w:t>Serene Psychiatry Hospital</w:t>
      </w:r>
      <w:r w:rsidRPr="00754B46">
        <w:rPr>
          <w:rFonts w:ascii="Sakkal Majalla" w:hAnsi="Sakkal Majalla" w:cs="Sakkal Majalla"/>
          <w:sz w:val="32"/>
          <w:szCs w:val="32"/>
        </w:rPr>
        <w:t>. Foundational programs are also provided to implement psychological and social assessments for beneficiaries and their families, aimed at identifying risk factors and directing them to appropriate therapeutic initiatives.</w:t>
      </w:r>
    </w:p>
    <w:p w14:paraId="28D6092A" w14:textId="77777777" w:rsidR="00754B46" w:rsidRPr="00754B46" w:rsidRDefault="00754B46" w:rsidP="0085624E">
      <w:pPr>
        <w:bidi w:val="0"/>
        <w:spacing w:before="240" w:after="0"/>
        <w:jc w:val="lowKashida"/>
        <w:rPr>
          <w:rFonts w:ascii="Sakkal Majalla" w:hAnsi="Sakkal Majalla" w:cs="Sakkal Majalla"/>
          <w:sz w:val="32"/>
          <w:szCs w:val="32"/>
        </w:rPr>
      </w:pPr>
      <w:r w:rsidRPr="00754B46">
        <w:rPr>
          <w:rFonts w:ascii="Sakkal Majalla" w:hAnsi="Sakkal Majalla" w:cs="Sakkal Majalla"/>
          <w:sz w:val="32"/>
          <w:szCs w:val="32"/>
        </w:rPr>
        <w:t>These efforts are complemented by mandatory training offered by other national bodies, including the Supreme Council for Women, the Ministry of Labor, and the Royal Academy of Police, to strengthen staff awareness of victims’ vulnerabilities and their psychological, social, and legal needs.</w:t>
      </w:r>
    </w:p>
    <w:p w14:paraId="362A53FE" w14:textId="77777777" w:rsidR="00754B46" w:rsidRPr="00754B46" w:rsidRDefault="00754B46" w:rsidP="0085624E">
      <w:pPr>
        <w:bidi w:val="0"/>
        <w:spacing w:before="240" w:after="0"/>
        <w:jc w:val="lowKashida"/>
        <w:rPr>
          <w:rFonts w:ascii="Sakkal Majalla" w:hAnsi="Sakkal Majalla" w:cs="Sakkal Majalla"/>
          <w:sz w:val="32"/>
          <w:szCs w:val="32"/>
        </w:rPr>
      </w:pPr>
      <w:r w:rsidRPr="00754B46">
        <w:rPr>
          <w:rFonts w:ascii="Sakkal Majalla" w:hAnsi="Sakkal Majalla" w:cs="Sakkal Majalla"/>
          <w:sz w:val="32"/>
          <w:szCs w:val="32"/>
        </w:rPr>
        <w:t>Additionally, the Directorate has established a strategic partnership with Sheffield Hallam University in the United Kingdom to deliver advanced training programs on protecting vulnerable groups, managing sensitive cases, and implementing early intervention mechanisms, alongside field visits to observe best practices in alternative sanctions and open prisons. The programs also cover follow-up procedures, linking beneficiaries and victims to social support services to prevent recurrence of violence and promote family stability.</w:t>
      </w:r>
    </w:p>
    <w:p w14:paraId="10E518E8" w14:textId="77777777" w:rsidR="00754B46" w:rsidRPr="00754B46" w:rsidRDefault="00754B46" w:rsidP="0085624E">
      <w:pPr>
        <w:bidi w:val="0"/>
        <w:spacing w:before="240" w:after="0"/>
        <w:jc w:val="lowKashida"/>
        <w:rPr>
          <w:rFonts w:ascii="Sakkal Majalla" w:hAnsi="Sakkal Majalla" w:cs="Sakkal Majalla"/>
          <w:sz w:val="32"/>
          <w:szCs w:val="32"/>
        </w:rPr>
      </w:pPr>
      <w:r w:rsidRPr="00754B46">
        <w:rPr>
          <w:rFonts w:ascii="Sakkal Majalla" w:hAnsi="Sakkal Majalla" w:cs="Sakkal Majalla"/>
          <w:sz w:val="32"/>
          <w:szCs w:val="32"/>
        </w:rPr>
        <w:t>These initiatives reflect Bahrain’s commitment to developing its personnel in accordance with international standards, ensuring an effective and humane response to domestic violence while safeguarding victims and supporting families.</w:t>
      </w:r>
    </w:p>
    <w:p w14:paraId="20B97A84" w14:textId="48B36E39" w:rsidR="00AC276F" w:rsidRPr="00713784" w:rsidRDefault="002A0DD4"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2A0DD4">
        <w:rPr>
          <w:rFonts w:ascii="Sakkal Majalla" w:hAnsi="Sakkal Majalla" w:cs="Sakkal Majalla"/>
          <w:b/>
          <w:bCs/>
          <w:sz w:val="32"/>
          <w:szCs w:val="32"/>
        </w:rPr>
        <w:lastRenderedPageBreak/>
        <w:t>Topic</w:t>
      </w:r>
      <w:r w:rsidRPr="00863B82">
        <w:rPr>
          <w:rFonts w:ascii="Sakkal Majalla" w:hAnsi="Sakkal Majalla" w:cs="Sakkal Majalla"/>
          <w:b/>
          <w:bCs/>
          <w:sz w:val="32"/>
          <w:szCs w:val="32"/>
        </w:rPr>
        <w:t xml:space="preserve"> 11</w:t>
      </w:r>
      <w:r w:rsidRPr="002A0DD4">
        <w:rPr>
          <w:rFonts w:ascii="Sakkal Majalla" w:hAnsi="Sakkal Majalla" w:cs="Sakkal Majalla"/>
          <w:b/>
          <w:bCs/>
          <w:sz w:val="32"/>
          <w:szCs w:val="32"/>
        </w:rPr>
        <w:t>: Judicial Independence and Safeguards for Judicial Integrity</w:t>
      </w:r>
    </w:p>
    <w:p w14:paraId="369575B1" w14:textId="77777777" w:rsidR="006E6B47" w:rsidRPr="006E6B47" w:rsidRDefault="006E6B47" w:rsidP="0085624E">
      <w:pPr>
        <w:bidi w:val="0"/>
        <w:spacing w:before="240" w:after="0"/>
        <w:jc w:val="lowKashida"/>
        <w:rPr>
          <w:rFonts w:ascii="Sakkal Majalla" w:hAnsi="Sakkal Majalla" w:cs="Sakkal Majalla"/>
          <w:sz w:val="32"/>
          <w:szCs w:val="32"/>
        </w:rPr>
      </w:pPr>
      <w:r w:rsidRPr="006E6B47">
        <w:rPr>
          <w:rFonts w:ascii="Sakkal Majalla" w:hAnsi="Sakkal Majalla" w:cs="Sakkal Majalla"/>
          <w:sz w:val="32"/>
          <w:szCs w:val="32"/>
        </w:rPr>
        <w:t>Article (104) of the Constitution provides that:</w:t>
      </w:r>
    </w:p>
    <w:p w14:paraId="1ED0CF9C" w14:textId="77777777" w:rsidR="006E6B47" w:rsidRPr="006E6B47" w:rsidRDefault="006E6B47" w:rsidP="0085624E">
      <w:pPr>
        <w:bidi w:val="0"/>
        <w:spacing w:before="240" w:after="0"/>
        <w:jc w:val="lowKashida"/>
        <w:rPr>
          <w:rFonts w:ascii="Sakkal Majalla" w:hAnsi="Sakkal Majalla" w:cs="Sakkal Majalla"/>
          <w:sz w:val="32"/>
          <w:szCs w:val="32"/>
        </w:rPr>
      </w:pPr>
      <w:r w:rsidRPr="006E6B47">
        <w:rPr>
          <w:rFonts w:ascii="Sakkal Majalla" w:hAnsi="Sakkal Majalla" w:cs="Sakkal Majalla"/>
          <w:sz w:val="32"/>
          <w:szCs w:val="32"/>
        </w:rPr>
        <w:t>“(a) The honor of the judiciary, and the integrity and impartiality of judges, are the foundation of governance and a guarantee for rights and freedoms.</w:t>
      </w:r>
      <w:r w:rsidRPr="006E6B47">
        <w:rPr>
          <w:rFonts w:ascii="Sakkal Majalla" w:hAnsi="Sakkal Majalla" w:cs="Sakkal Majalla"/>
          <w:sz w:val="32"/>
          <w:szCs w:val="32"/>
        </w:rPr>
        <w:br/>
        <w:t>(b) No authority shall have control over a judge in the exercise of his judicial functions, and under no circumstances may the course of justice be interfered with. The law shall ensure the independence of the judiciary and shall set out the guarantees, duties, and regulations pertaining to judges.</w:t>
      </w:r>
      <w:r w:rsidRPr="006E6B47">
        <w:rPr>
          <w:rFonts w:ascii="Sakkal Majalla" w:hAnsi="Sakkal Majalla" w:cs="Sakkal Majalla"/>
          <w:sz w:val="32"/>
          <w:szCs w:val="32"/>
        </w:rPr>
        <w:br/>
        <w:t>(c) The law shall define the provisions governing the Public Prosecution, legal advisory functions, legislative drafting, representation of the State before the courts, and those working in these fields.</w:t>
      </w:r>
      <w:r w:rsidRPr="006E6B47">
        <w:rPr>
          <w:rFonts w:ascii="Sakkal Majalla" w:hAnsi="Sakkal Majalla" w:cs="Sakkal Majalla"/>
          <w:sz w:val="32"/>
          <w:szCs w:val="32"/>
        </w:rPr>
        <w:br/>
        <w:t>(d) The law shall regulate the legal profession.”</w:t>
      </w:r>
    </w:p>
    <w:p w14:paraId="4BB95203" w14:textId="77777777" w:rsidR="006E6B47" w:rsidRPr="006E6B47" w:rsidRDefault="006E6B47" w:rsidP="0085624E">
      <w:pPr>
        <w:bidi w:val="0"/>
        <w:spacing w:before="240" w:after="0"/>
        <w:jc w:val="lowKashida"/>
        <w:rPr>
          <w:rFonts w:ascii="Sakkal Majalla" w:hAnsi="Sakkal Majalla" w:cs="Sakkal Majalla"/>
          <w:sz w:val="32"/>
          <w:szCs w:val="32"/>
        </w:rPr>
      </w:pPr>
      <w:r w:rsidRPr="006E6B47">
        <w:rPr>
          <w:rFonts w:ascii="Sakkal Majalla" w:hAnsi="Sakkal Majalla" w:cs="Sakkal Majalla"/>
          <w:sz w:val="32"/>
          <w:szCs w:val="32"/>
        </w:rPr>
        <w:t>Article (105) of the Constitution further states that:</w:t>
      </w:r>
    </w:p>
    <w:p w14:paraId="47260734" w14:textId="77777777" w:rsidR="00093338" w:rsidRPr="00863B82" w:rsidRDefault="006E6B47" w:rsidP="0085624E">
      <w:pPr>
        <w:bidi w:val="0"/>
        <w:spacing w:before="240" w:after="0"/>
        <w:jc w:val="lowKashida"/>
        <w:rPr>
          <w:rFonts w:ascii="Sakkal Majalla" w:hAnsi="Sakkal Majalla" w:cs="Sakkal Majalla"/>
          <w:sz w:val="32"/>
          <w:szCs w:val="32"/>
        </w:rPr>
      </w:pPr>
      <w:r w:rsidRPr="006E6B47">
        <w:rPr>
          <w:rFonts w:ascii="Sakkal Majalla" w:hAnsi="Sakkal Majalla" w:cs="Sakkal Majalla"/>
          <w:sz w:val="32"/>
          <w:szCs w:val="32"/>
        </w:rPr>
        <w:t>“(a) The law shall classify courts according to their types and levels, and shall define their functions and jurisdictions.</w:t>
      </w:r>
      <w:r w:rsidRPr="006E6B47">
        <w:rPr>
          <w:rFonts w:ascii="Sakkal Majalla" w:hAnsi="Sakkal Majalla" w:cs="Sakkal Majalla"/>
          <w:sz w:val="32"/>
          <w:szCs w:val="32"/>
        </w:rPr>
        <w:br/>
        <w:t>(b) The law shall regulate the military judiciary and define its jurisdiction in the Bahrain Defence Force, the National Guard, and the Public Security Forces.</w:t>
      </w:r>
      <w:r w:rsidRPr="006E6B47">
        <w:rPr>
          <w:rFonts w:ascii="Sakkal Majalla" w:hAnsi="Sakkal Majalla" w:cs="Sakkal Majalla"/>
          <w:sz w:val="32"/>
          <w:szCs w:val="32"/>
        </w:rPr>
        <w:br/>
        <w:t>(c) Court hearings shall be public, except in exceptional circumstances specified by law.”</w:t>
      </w:r>
    </w:p>
    <w:p w14:paraId="0C151E0B" w14:textId="13A54A74" w:rsidR="00713784" w:rsidRPr="00863B82" w:rsidRDefault="00093338" w:rsidP="0085624E">
      <w:p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(d) A Supreme Judicial Council shall be established by law to oversee the proper functioning of the courts and their supporting bodies. The law shall define the Council’s powers with respect to the employment affairs of members of the judiciary and the Public Prosecution.”</w:t>
      </w:r>
    </w:p>
    <w:p w14:paraId="2CD55D1D" w14:textId="77777777" w:rsidR="006D16DF" w:rsidRPr="006D16DF" w:rsidRDefault="006D16DF" w:rsidP="0085624E">
      <w:pPr>
        <w:bidi w:val="0"/>
        <w:spacing w:before="240" w:after="0"/>
        <w:jc w:val="lowKashida"/>
        <w:rPr>
          <w:rFonts w:ascii="Sakkal Majalla" w:hAnsi="Sakkal Majalla" w:cs="Sakkal Majalla"/>
          <w:sz w:val="32"/>
          <w:szCs w:val="32"/>
        </w:rPr>
      </w:pPr>
      <w:r w:rsidRPr="006D16DF">
        <w:rPr>
          <w:rFonts w:ascii="Sakkal Majalla" w:hAnsi="Sakkal Majalla" w:cs="Sakkal Majalla"/>
          <w:sz w:val="32"/>
          <w:szCs w:val="32"/>
        </w:rPr>
        <w:lastRenderedPageBreak/>
        <w:t>The independence and immunity of the judiciary constitute fundamental guarantees for the protection of rights and freedoms. To reinforce judicial independence and ensure the right to a fair trial, the Constitutional Court was established under Decree-Law No. (27) of 2002, as amended by Decree-Law No. (38) of 2012. This came in line with the directives of the National Action Charter, which called for completing the judicial bodies stipulated in the Constitution and designating the judicial authority responsible for reviewing the constitutionality of laws and regulations, as well as the Public Prosecution.</w:t>
      </w:r>
    </w:p>
    <w:p w14:paraId="1061E3ED" w14:textId="77777777" w:rsidR="006D16DF" w:rsidRPr="00863B82" w:rsidRDefault="006D16DF" w:rsidP="0085624E">
      <w:pPr>
        <w:bidi w:val="0"/>
        <w:spacing w:before="240" w:after="0"/>
        <w:jc w:val="lowKashida"/>
        <w:rPr>
          <w:rFonts w:ascii="Sakkal Majalla" w:hAnsi="Sakkal Majalla" w:cs="Sakkal Majalla"/>
          <w:sz w:val="32"/>
          <w:szCs w:val="32"/>
        </w:rPr>
      </w:pPr>
      <w:r w:rsidRPr="006D16DF">
        <w:rPr>
          <w:rFonts w:ascii="Sakkal Majalla" w:hAnsi="Sakkal Majalla" w:cs="Sakkal Majalla"/>
          <w:sz w:val="32"/>
          <w:szCs w:val="32"/>
        </w:rPr>
        <w:t xml:space="preserve">The Constitution limits the jurisdiction of the Constitutional Court to overseeing the constitutionality of laws and regulations. If a judgment of unconstitutionality relates to a penal provision, any convictions issued </w:t>
      </w:r>
      <w:proofErr w:type="gramStart"/>
      <w:r w:rsidRPr="006D16DF">
        <w:rPr>
          <w:rFonts w:ascii="Sakkal Majalla" w:hAnsi="Sakkal Majalla" w:cs="Sakkal Majalla"/>
          <w:sz w:val="32"/>
          <w:szCs w:val="32"/>
        </w:rPr>
        <w:t>on the basis of</w:t>
      </w:r>
      <w:proofErr w:type="gramEnd"/>
      <w:r w:rsidRPr="006D16DF">
        <w:rPr>
          <w:rFonts w:ascii="Sakkal Majalla" w:hAnsi="Sakkal Majalla" w:cs="Sakkal Majalla"/>
          <w:sz w:val="32"/>
          <w:szCs w:val="32"/>
        </w:rPr>
        <w:t xml:space="preserve"> that provision are deemed null and void.</w:t>
      </w:r>
    </w:p>
    <w:p w14:paraId="6C58C90D" w14:textId="77777777" w:rsidR="000C67C4" w:rsidRPr="000C67C4" w:rsidRDefault="000C67C4" w:rsidP="0085624E">
      <w:pPr>
        <w:bidi w:val="0"/>
        <w:spacing w:before="240" w:after="0"/>
        <w:jc w:val="lowKashida"/>
        <w:rPr>
          <w:rFonts w:ascii="Sakkal Majalla" w:hAnsi="Sakkal Majalla" w:cs="Sakkal Majalla"/>
          <w:sz w:val="32"/>
          <w:szCs w:val="32"/>
        </w:rPr>
      </w:pPr>
      <w:r w:rsidRPr="000C67C4">
        <w:rPr>
          <w:rFonts w:ascii="Sakkal Majalla" w:hAnsi="Sakkal Majalla" w:cs="Sakkal Majalla"/>
          <w:sz w:val="32"/>
          <w:szCs w:val="32"/>
        </w:rPr>
        <w:t>In addition, the Judicial Authority Law, issued by Decree-Law No. (42) of 2002 and its amendments, set out the structure, organization, and jurisdictional scope of the judicial authority, as well as the mechanisms for appointing judges, defining their duties, and establishing a system for judicial inspection and accountability.</w:t>
      </w:r>
    </w:p>
    <w:p w14:paraId="2525EB7D" w14:textId="16F661F5" w:rsidR="000C67C4" w:rsidRPr="00863B82" w:rsidRDefault="000C67C4" w:rsidP="0085624E">
      <w:pPr>
        <w:bidi w:val="0"/>
        <w:spacing w:before="240" w:after="0"/>
        <w:jc w:val="lowKashida"/>
        <w:rPr>
          <w:rFonts w:ascii="Sakkal Majalla" w:hAnsi="Sakkal Majalla" w:cs="Sakkal Majalla"/>
          <w:sz w:val="32"/>
          <w:szCs w:val="32"/>
        </w:rPr>
      </w:pPr>
      <w:r w:rsidRPr="000C67C4">
        <w:rPr>
          <w:rFonts w:ascii="Sakkal Majalla" w:hAnsi="Sakkal Majalla" w:cs="Sakkal Majalla"/>
          <w:sz w:val="32"/>
          <w:szCs w:val="32"/>
        </w:rPr>
        <w:t>Furthermore, the Criminal Procedure Law, issued by Decree-Law No. (46) of 2002 and its amendments, introduced a comprehensive set of procedures and safeguards that form an integrated legal framework for protecting the right to a fair trial</w:t>
      </w:r>
      <w:r w:rsidR="00027C86" w:rsidRPr="00863B82">
        <w:rPr>
          <w:rFonts w:ascii="Sakkal Majalla" w:hAnsi="Sakkal Majalla" w:cs="Sakkal Majalla"/>
          <w:sz w:val="32"/>
          <w:szCs w:val="32"/>
        </w:rPr>
        <w:t xml:space="preserve">, </w:t>
      </w:r>
      <w:r w:rsidRPr="000C67C4">
        <w:rPr>
          <w:rFonts w:ascii="Sakkal Majalla" w:hAnsi="Sakkal Majalla" w:cs="Sakkal Majalla"/>
          <w:sz w:val="32"/>
          <w:szCs w:val="32"/>
        </w:rPr>
        <w:t>beginning with arrest and evidence-gathering, followed by preliminary investigations, and culminating in the trial process.</w:t>
      </w:r>
    </w:p>
    <w:p w14:paraId="51966F94" w14:textId="77777777" w:rsidR="00471F00" w:rsidRPr="00471F00" w:rsidRDefault="00471F00" w:rsidP="0085624E">
      <w:pPr>
        <w:bidi w:val="0"/>
        <w:spacing w:before="240" w:after="0"/>
        <w:jc w:val="lowKashida"/>
        <w:rPr>
          <w:rFonts w:ascii="Sakkal Majalla" w:hAnsi="Sakkal Majalla" w:cs="Sakkal Majalla"/>
          <w:sz w:val="32"/>
          <w:szCs w:val="32"/>
        </w:rPr>
      </w:pPr>
      <w:r w:rsidRPr="00471F00">
        <w:rPr>
          <w:rFonts w:ascii="Sakkal Majalla" w:hAnsi="Sakkal Majalla" w:cs="Sakkal Majalla"/>
          <w:sz w:val="32"/>
          <w:szCs w:val="32"/>
        </w:rPr>
        <w:t xml:space="preserve">The process of selecting and appointing judges is carried out in accordance with clear standards established under the Constitution and the Judicial Authority </w:t>
      </w:r>
      <w:proofErr w:type="gramStart"/>
      <w:r w:rsidRPr="00471F00">
        <w:rPr>
          <w:rFonts w:ascii="Sakkal Majalla" w:hAnsi="Sakkal Majalla" w:cs="Sakkal Majalla"/>
          <w:sz w:val="32"/>
          <w:szCs w:val="32"/>
        </w:rPr>
        <w:t>Law, and</w:t>
      </w:r>
      <w:proofErr w:type="gramEnd"/>
      <w:r w:rsidRPr="00471F00">
        <w:rPr>
          <w:rFonts w:ascii="Sakkal Majalla" w:hAnsi="Sakkal Majalla" w:cs="Sakkal Majalla"/>
          <w:sz w:val="32"/>
          <w:szCs w:val="32"/>
        </w:rPr>
        <w:t xml:space="preserve"> is overseen by the Supreme Judicial Council to ensure competence, independence, and integrity. Candidates are required to successfully complete assessment stages and interviews in line with internationally recognized criteria for judicial appointments.</w:t>
      </w:r>
    </w:p>
    <w:p w14:paraId="13436A31" w14:textId="09DF2671" w:rsidR="00471F00" w:rsidRPr="00471F00" w:rsidRDefault="00471F00" w:rsidP="0085624E">
      <w:pPr>
        <w:bidi w:val="0"/>
        <w:spacing w:before="240" w:after="0"/>
        <w:jc w:val="lowKashida"/>
        <w:rPr>
          <w:rFonts w:ascii="Sakkal Majalla" w:hAnsi="Sakkal Majalla" w:cs="Sakkal Majalla"/>
          <w:sz w:val="32"/>
          <w:szCs w:val="32"/>
        </w:rPr>
      </w:pPr>
      <w:r w:rsidRPr="00471F00">
        <w:rPr>
          <w:rFonts w:ascii="Sakkal Majalla" w:hAnsi="Sakkal Majalla" w:cs="Sakkal Majalla"/>
          <w:sz w:val="32"/>
          <w:szCs w:val="32"/>
        </w:rPr>
        <w:lastRenderedPageBreak/>
        <w:t>Bahrain continues to strengthen this system through the “Judges of the Future” program, which aims to attract promising young national talents and prepare them through an integrated training and evaluation pathway. The Judicial and Legal Studies Institute also plays a key role by providing specialized academic and practical training programs, enhancing candidates’ professional capabilities, and reinforcing the principles of judicial independence and the rule of law</w:t>
      </w:r>
      <w:r w:rsidR="0049185D" w:rsidRPr="00863B82">
        <w:rPr>
          <w:rFonts w:ascii="Sakkal Majalla" w:hAnsi="Sakkal Majalla" w:cs="Sakkal Majalla"/>
          <w:sz w:val="32"/>
          <w:szCs w:val="32"/>
        </w:rPr>
        <w:t xml:space="preserve">, </w:t>
      </w:r>
      <w:r w:rsidRPr="00471F00">
        <w:rPr>
          <w:rFonts w:ascii="Sakkal Majalla" w:hAnsi="Sakkal Majalla" w:cs="Sakkal Majalla"/>
          <w:sz w:val="32"/>
          <w:szCs w:val="32"/>
        </w:rPr>
        <w:t>thereby ensuring a rigorous and merit-based selection, training, and appointment process for members of the judiciary.</w:t>
      </w:r>
    </w:p>
    <w:p w14:paraId="619DD1A2" w14:textId="77777777" w:rsidR="00FF36B5" w:rsidRPr="00863B82" w:rsidRDefault="00FF36B5" w:rsidP="0085624E">
      <w:pPr>
        <w:bidi w:val="0"/>
        <w:spacing w:before="240" w:after="0"/>
        <w:jc w:val="lowKashida"/>
        <w:rPr>
          <w:rFonts w:ascii="Sakkal Majalla" w:hAnsi="Sakkal Majalla" w:cs="Sakkal Majalla"/>
          <w:sz w:val="32"/>
          <w:szCs w:val="32"/>
        </w:rPr>
      </w:pPr>
      <w:r w:rsidRPr="00FF36B5">
        <w:rPr>
          <w:rFonts w:ascii="Sakkal Majalla" w:hAnsi="Sakkal Majalla" w:cs="Sakkal Majalla"/>
          <w:sz w:val="32"/>
          <w:szCs w:val="32"/>
        </w:rPr>
        <w:t>Accordingly, the judiciary in Bahrain is fully national and independent. Judges fall under the authority of the Supreme Judicial Council, which oversees all matters related to their appointments, careers, and professional conduct. The engagement of foreign judges is limited to certain commercial cases, and they work alongside Bahraini judges. Bahrain also maintains judicial cooperation with several Arab judicial institutions, where temporary secondments are arranged through formal agreements between judicial councils. These arrangements fall strictly under the supervision and oversight of the judicial authority, ensuring that no external party can interfere in such matters.</w:t>
      </w:r>
    </w:p>
    <w:p w14:paraId="46E445AA" w14:textId="77777777" w:rsidR="00884446" w:rsidRPr="00884446" w:rsidRDefault="00884446" w:rsidP="0085624E">
      <w:pPr>
        <w:bidi w:val="0"/>
        <w:spacing w:before="240" w:after="0"/>
        <w:jc w:val="lowKashida"/>
        <w:rPr>
          <w:rFonts w:ascii="Sakkal Majalla" w:hAnsi="Sakkal Majalla" w:cs="Sakkal Majalla"/>
          <w:sz w:val="32"/>
          <w:szCs w:val="32"/>
        </w:rPr>
      </w:pPr>
      <w:r w:rsidRPr="00884446">
        <w:rPr>
          <w:rFonts w:ascii="Sakkal Majalla" w:hAnsi="Sakkal Majalla" w:cs="Sakkal Majalla"/>
          <w:sz w:val="32"/>
          <w:szCs w:val="32"/>
        </w:rPr>
        <w:t>In this context, the Public Prosecution has established a specialized Division for Physical Evidence, responsible for collecting and analyzing evidence using modern scientific methods, ensuring the integrity of the evidentiary process and reinforcing reliance on impartial technical evidence as a cornerstone for establishing the truth.</w:t>
      </w:r>
    </w:p>
    <w:p w14:paraId="3E515AEE" w14:textId="77777777" w:rsidR="00884446" w:rsidRPr="00884446" w:rsidRDefault="00884446" w:rsidP="0085624E">
      <w:pPr>
        <w:bidi w:val="0"/>
        <w:spacing w:before="240" w:after="0"/>
        <w:jc w:val="lowKashida"/>
        <w:rPr>
          <w:rFonts w:ascii="Sakkal Majalla" w:hAnsi="Sakkal Majalla" w:cs="Sakkal Majalla"/>
          <w:sz w:val="32"/>
          <w:szCs w:val="32"/>
        </w:rPr>
      </w:pPr>
      <w:r w:rsidRPr="00884446">
        <w:rPr>
          <w:rFonts w:ascii="Sakkal Majalla" w:hAnsi="Sakkal Majalla" w:cs="Sakkal Majalla"/>
          <w:sz w:val="32"/>
          <w:szCs w:val="32"/>
        </w:rPr>
        <w:t xml:space="preserve">We emphasize that the Division for Physical Evidence operates under </w:t>
      </w:r>
      <w:proofErr w:type="gramStart"/>
      <w:r w:rsidRPr="00884446">
        <w:rPr>
          <w:rFonts w:ascii="Sakkal Majalla" w:hAnsi="Sakkal Majalla" w:cs="Sakkal Majalla"/>
          <w:sz w:val="32"/>
          <w:szCs w:val="32"/>
        </w:rPr>
        <w:t>the Public</w:t>
      </w:r>
      <w:proofErr w:type="gramEnd"/>
      <w:r w:rsidRPr="00884446">
        <w:rPr>
          <w:rFonts w:ascii="Sakkal Majalla" w:hAnsi="Sakkal Majalla" w:cs="Sakkal Majalla"/>
          <w:sz w:val="32"/>
          <w:szCs w:val="32"/>
        </w:rPr>
        <w:t xml:space="preserve"> Prosecution, deriving its independence from the autonomy of the Public Prosecution as a branch of the judiciary. The division is equipped with advanced laboratories and technologies for conducting forensic examinations, including DNA and genetic analyses.</w:t>
      </w:r>
    </w:p>
    <w:p w14:paraId="521A43F0" w14:textId="77777777" w:rsidR="00884446" w:rsidRPr="00884446" w:rsidRDefault="00884446" w:rsidP="0085624E">
      <w:pPr>
        <w:bidi w:val="0"/>
        <w:spacing w:before="240" w:after="0"/>
        <w:jc w:val="lowKashida"/>
        <w:rPr>
          <w:rFonts w:ascii="Sakkal Majalla" w:hAnsi="Sakkal Majalla" w:cs="Sakkal Majalla"/>
          <w:sz w:val="32"/>
          <w:szCs w:val="32"/>
        </w:rPr>
      </w:pPr>
      <w:r w:rsidRPr="00884446">
        <w:rPr>
          <w:rFonts w:ascii="Sakkal Majalla" w:hAnsi="Sakkal Majalla" w:cs="Sakkal Majalla"/>
          <w:sz w:val="32"/>
          <w:szCs w:val="32"/>
        </w:rPr>
        <w:lastRenderedPageBreak/>
        <w:t>The Biology and Genetic Laboratory of the Division is tasked with analyzing and examining various types of physical and biological evidence collected from crime scenes or submitted by the Forensic Medicine Department, under the orders of the Public Prosecution or the courts.</w:t>
      </w:r>
    </w:p>
    <w:p w14:paraId="594C8AE6" w14:textId="1B7E58AE" w:rsidR="00884446" w:rsidRPr="00FF36B5" w:rsidRDefault="00884446" w:rsidP="0085624E">
      <w:pPr>
        <w:bidi w:val="0"/>
        <w:spacing w:before="240" w:after="0"/>
        <w:jc w:val="lowKashida"/>
        <w:rPr>
          <w:rFonts w:ascii="Sakkal Majalla" w:hAnsi="Sakkal Majalla" w:cs="Sakkal Majalla"/>
          <w:sz w:val="32"/>
          <w:szCs w:val="32"/>
        </w:rPr>
      </w:pPr>
      <w:r w:rsidRPr="00884446">
        <w:rPr>
          <w:rFonts w:ascii="Sakkal Majalla" w:hAnsi="Sakkal Majalla" w:cs="Sakkal Majalla"/>
          <w:sz w:val="32"/>
          <w:szCs w:val="32"/>
        </w:rPr>
        <w:t xml:space="preserve">The laboratory is equipped with state-of-the-art instruments to analyze DNA and genetic material from unidentified samples, serving as a crucial tool in forensic cases, identifying missing </w:t>
      </w:r>
      <w:proofErr w:type="gramStart"/>
      <w:r w:rsidRPr="00884446">
        <w:rPr>
          <w:rFonts w:ascii="Sakkal Majalla" w:hAnsi="Sakkal Majalla" w:cs="Sakkal Majalla"/>
          <w:sz w:val="32"/>
          <w:szCs w:val="32"/>
        </w:rPr>
        <w:t>persons</w:t>
      </w:r>
      <w:proofErr w:type="gramEnd"/>
      <w:r w:rsidRPr="00884446">
        <w:rPr>
          <w:rFonts w:ascii="Sakkal Majalla" w:hAnsi="Sakkal Majalla" w:cs="Sakkal Majalla"/>
          <w:sz w:val="32"/>
          <w:szCs w:val="32"/>
        </w:rPr>
        <w:t>, and conducting paternity tests. Additionally, the laboratory has been outfitted with advanced devices for quantifying and assessing DNA quality, a critical step prior to DNA profiling and genetic analysis.</w:t>
      </w:r>
    </w:p>
    <w:p w14:paraId="1AFA2A1D" w14:textId="15F2B359" w:rsidR="006D16DF" w:rsidRPr="00863B82" w:rsidRDefault="00E01093"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sz w:val="32"/>
          <w:szCs w:val="32"/>
        </w:rPr>
      </w:pPr>
      <w:r w:rsidRPr="00E01093">
        <w:rPr>
          <w:rFonts w:ascii="Sakkal Majalla" w:hAnsi="Sakkal Majalla" w:cs="Sakkal Majalla"/>
          <w:b/>
          <w:bCs/>
          <w:sz w:val="32"/>
          <w:szCs w:val="32"/>
        </w:rPr>
        <w:t xml:space="preserve">Topic </w:t>
      </w:r>
      <w:r w:rsidRPr="00863B82">
        <w:rPr>
          <w:rFonts w:ascii="Sakkal Majalla" w:hAnsi="Sakkal Majalla" w:cs="Sakkal Majalla"/>
          <w:b/>
          <w:bCs/>
          <w:sz w:val="32"/>
          <w:szCs w:val="32"/>
        </w:rPr>
        <w:t>12</w:t>
      </w:r>
      <w:r w:rsidRPr="00E01093">
        <w:rPr>
          <w:rFonts w:ascii="Sakkal Majalla" w:hAnsi="Sakkal Majalla" w:cs="Sakkal Majalla"/>
          <w:b/>
          <w:bCs/>
          <w:sz w:val="32"/>
          <w:szCs w:val="32"/>
        </w:rPr>
        <w:t xml:space="preserve">: Access to </w:t>
      </w:r>
      <w:r w:rsidR="00852D43" w:rsidRPr="00863B82">
        <w:rPr>
          <w:rFonts w:ascii="Sakkal Majalla" w:hAnsi="Sakkal Majalla" w:cs="Sakkal Majalla"/>
          <w:b/>
          <w:bCs/>
          <w:sz w:val="32"/>
          <w:szCs w:val="32"/>
        </w:rPr>
        <w:t>Remedies</w:t>
      </w:r>
      <w:r w:rsidRPr="00E01093">
        <w:rPr>
          <w:rFonts w:ascii="Sakkal Majalla" w:hAnsi="Sakkal Majalla" w:cs="Sakkal Majalla"/>
          <w:b/>
          <w:bCs/>
          <w:sz w:val="32"/>
          <w:szCs w:val="32"/>
        </w:rPr>
        <w:t xml:space="preserve"> and Compensation</w:t>
      </w:r>
    </w:p>
    <w:p w14:paraId="23900B97" w14:textId="77777777" w:rsidR="00914558" w:rsidRPr="00914558" w:rsidRDefault="00914558" w:rsidP="0085624E">
      <w:pPr>
        <w:bidi w:val="0"/>
        <w:spacing w:before="240" w:after="0"/>
        <w:jc w:val="lowKashida"/>
        <w:rPr>
          <w:rFonts w:ascii="Sakkal Majalla" w:hAnsi="Sakkal Majalla" w:cs="Sakkal Majalla"/>
          <w:sz w:val="32"/>
          <w:szCs w:val="32"/>
        </w:rPr>
      </w:pPr>
      <w:r w:rsidRPr="00914558">
        <w:rPr>
          <w:rFonts w:ascii="Sakkal Majalla" w:hAnsi="Sakkal Majalla" w:cs="Sakkal Majalla"/>
          <w:sz w:val="32"/>
          <w:szCs w:val="32"/>
        </w:rPr>
        <w:t>The Kingdom of Bahrain has placed significant emphasis on the principle of reparations and compensation for victims, recognizing it as a fundamental pillar for achieving justice and ensuring fairness for those entitled to redress. This has been implemented through comprehensive legal and institutional frameworks that guarantee the right to litigation, legal accountability, and the enforcement of judicial compensation orders, in line with the Constitution and international standards.</w:t>
      </w:r>
    </w:p>
    <w:p w14:paraId="68195700" w14:textId="5029A989" w:rsidR="00914558" w:rsidRPr="00863B82" w:rsidRDefault="00914558" w:rsidP="0085624E">
      <w:pPr>
        <w:bidi w:val="0"/>
        <w:spacing w:before="240" w:after="0"/>
        <w:jc w:val="lowKashida"/>
        <w:rPr>
          <w:rFonts w:ascii="Sakkal Majalla" w:hAnsi="Sakkal Majalla" w:cs="Sakkal Majalla"/>
          <w:sz w:val="32"/>
          <w:szCs w:val="32"/>
        </w:rPr>
      </w:pPr>
      <w:r w:rsidRPr="00914558">
        <w:rPr>
          <w:rFonts w:ascii="Sakkal Majalla" w:hAnsi="Sakkal Majalla" w:cs="Sakkal Majalla"/>
          <w:sz w:val="32"/>
          <w:szCs w:val="32"/>
        </w:rPr>
        <w:t xml:space="preserve">In this context, Bahrain has adopted a series of institutional and legislative measures to ensure that all eligible victims receive appropriate compensation. Notably, the Kingdom established the Civil Settlement Office to compensate affected </w:t>
      </w:r>
      <w:r w:rsidR="00BA4088" w:rsidRPr="00863B82">
        <w:rPr>
          <w:rFonts w:ascii="Sakkal Majalla" w:hAnsi="Sakkal Majalla" w:cs="Sakkal Majalla"/>
          <w:sz w:val="32"/>
          <w:szCs w:val="32"/>
        </w:rPr>
        <w:t>individuals</w:t>
      </w:r>
      <w:r w:rsidRPr="00914558">
        <w:rPr>
          <w:rFonts w:ascii="Sakkal Majalla" w:hAnsi="Sakkal Majalla" w:cs="Sakkal Majalla"/>
          <w:sz w:val="32"/>
          <w:szCs w:val="32"/>
        </w:rPr>
        <w:t>. The Office reviewed all relevant cases and disbursed full compensation to all victims or their families who were determined to be eligible.</w:t>
      </w:r>
    </w:p>
    <w:p w14:paraId="62C05B42" w14:textId="77777777" w:rsidR="0002518D" w:rsidRPr="0002518D" w:rsidRDefault="0002518D" w:rsidP="0085624E">
      <w:pPr>
        <w:bidi w:val="0"/>
        <w:spacing w:before="240" w:after="0"/>
        <w:jc w:val="lowKashida"/>
        <w:rPr>
          <w:rFonts w:ascii="Sakkal Majalla" w:hAnsi="Sakkal Majalla" w:cs="Sakkal Majalla"/>
          <w:sz w:val="32"/>
          <w:szCs w:val="32"/>
        </w:rPr>
      </w:pPr>
      <w:r w:rsidRPr="0002518D">
        <w:rPr>
          <w:rFonts w:ascii="Sakkal Majalla" w:hAnsi="Sakkal Majalla" w:cs="Sakkal Majalla"/>
          <w:sz w:val="32"/>
          <w:szCs w:val="32"/>
        </w:rPr>
        <w:t xml:space="preserve">It should be noted that measures for reparations are not limited to financial compensation alone but also encompass psychological and social support. This is provided through the Victims and </w:t>
      </w:r>
      <w:r w:rsidRPr="0002518D">
        <w:rPr>
          <w:rFonts w:ascii="Sakkal Majalla" w:hAnsi="Sakkal Majalla" w:cs="Sakkal Majalla"/>
          <w:sz w:val="32"/>
          <w:szCs w:val="32"/>
        </w:rPr>
        <w:lastRenderedPageBreak/>
        <w:t>Witnesses Affairs Unit, which offers legal and psychological guidance to victims and their families, ensuring their access to justice. Such measures strengthen the realization of fairness and reinforce confidence in the national justice system.</w:t>
      </w:r>
    </w:p>
    <w:p w14:paraId="48DF6266" w14:textId="22F614D2" w:rsidR="00E01093" w:rsidRPr="00863B82" w:rsidRDefault="0002518D" w:rsidP="0085624E">
      <w:pPr>
        <w:bidi w:val="0"/>
        <w:spacing w:before="240" w:after="0"/>
        <w:jc w:val="lowKashida"/>
        <w:rPr>
          <w:rFonts w:ascii="Sakkal Majalla" w:hAnsi="Sakkal Majalla" w:cs="Sakkal Majalla"/>
          <w:sz w:val="32"/>
          <w:szCs w:val="32"/>
        </w:rPr>
      </w:pPr>
      <w:r w:rsidRPr="0002518D">
        <w:rPr>
          <w:rFonts w:ascii="Sakkal Majalla" w:hAnsi="Sakkal Majalla" w:cs="Sakkal Majalla"/>
          <w:sz w:val="32"/>
          <w:szCs w:val="32"/>
        </w:rPr>
        <w:t>In this context, national legislation guarantees victims the right to pursue civil claims for compensation if a settlement is not accepted, without affecting any ongoing criminal proceedings against the perpetrators. This ensures the independence of criminal and civil actions while maintaining the coherence of justice mechanisms in protecting rights and providing remedies.</w:t>
      </w:r>
    </w:p>
    <w:p w14:paraId="6D859732" w14:textId="77777777" w:rsidR="00440BA5" w:rsidRPr="00440BA5" w:rsidRDefault="00440BA5" w:rsidP="0085624E">
      <w:pPr>
        <w:bidi w:val="0"/>
        <w:spacing w:before="240" w:after="0"/>
        <w:jc w:val="lowKashida"/>
        <w:rPr>
          <w:rFonts w:ascii="Sakkal Majalla" w:hAnsi="Sakkal Majalla" w:cs="Sakkal Majalla"/>
          <w:sz w:val="32"/>
          <w:szCs w:val="32"/>
        </w:rPr>
      </w:pPr>
      <w:r w:rsidRPr="00440BA5">
        <w:rPr>
          <w:rFonts w:ascii="Sakkal Majalla" w:hAnsi="Sakkal Majalla" w:cs="Sakkal Majalla"/>
          <w:sz w:val="32"/>
          <w:szCs w:val="32"/>
        </w:rPr>
        <w:t>All of this reflects the Kingdom of Bahrain’s commitment to a comprehensive reform approach based on the rule of law, accountability, and transparency, as well as its dedication to fully implementing relevant international standards on the prevention of torture and ensuring victims’ rights to redress and fair compensation.</w:t>
      </w:r>
    </w:p>
    <w:p w14:paraId="2C9A3434" w14:textId="43186334" w:rsidR="00A945EB" w:rsidRPr="00863B82" w:rsidRDefault="00440BA5" w:rsidP="0085624E">
      <w:pPr>
        <w:bidi w:val="0"/>
        <w:spacing w:before="240" w:after="0"/>
        <w:jc w:val="lowKashida"/>
        <w:rPr>
          <w:rFonts w:ascii="Sakkal Majalla" w:hAnsi="Sakkal Majalla" w:cs="Sakkal Majalla"/>
          <w:sz w:val="32"/>
          <w:szCs w:val="32"/>
        </w:rPr>
      </w:pPr>
      <w:r w:rsidRPr="00440BA5">
        <w:rPr>
          <w:rFonts w:ascii="Sakkal Majalla" w:hAnsi="Sakkal Majalla" w:cs="Sakkal Majalla"/>
          <w:sz w:val="32"/>
          <w:szCs w:val="32"/>
        </w:rPr>
        <w:t>Bahrain affirms that its national compensation system represents a practical manifestation of the State’s commitment to the principles of justice and fairness. Every affected person has the right to reparations through the independent national judiciary, ensuring the protection of human dignity while achieving both deterrence and equitable redress</w:t>
      </w:r>
      <w:r w:rsidRPr="00863B82">
        <w:rPr>
          <w:rFonts w:ascii="Sakkal Majalla" w:hAnsi="Sakkal Majalla" w:cs="Sakkal Majalla"/>
          <w:sz w:val="32"/>
          <w:szCs w:val="32"/>
        </w:rPr>
        <w:t>.</w:t>
      </w:r>
    </w:p>
    <w:p w14:paraId="15DB62E6" w14:textId="435B77EA" w:rsidR="001C72F3" w:rsidRPr="00863B82" w:rsidRDefault="009D7CD8"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spacing w:before="240" w:after="0"/>
        <w:jc w:val="lowKashida"/>
        <w:rPr>
          <w:rFonts w:ascii="Sakkal Majalla" w:hAnsi="Sakkal Majalla" w:cs="Sakkal Majalla"/>
          <w:b/>
          <w:bCs/>
          <w:sz w:val="32"/>
          <w:szCs w:val="32"/>
        </w:rPr>
      </w:pPr>
      <w:r w:rsidRPr="00863B82">
        <w:rPr>
          <w:rFonts w:ascii="Sakkal Majalla" w:hAnsi="Sakkal Majalla" w:cs="Sakkal Majalla"/>
          <w:b/>
          <w:bCs/>
          <w:sz w:val="32"/>
          <w:szCs w:val="32"/>
        </w:rPr>
        <w:t>Topic 13: Restorative Justice for Children and the Criminalization of Corporal Punishment of Children</w:t>
      </w:r>
    </w:p>
    <w:p w14:paraId="3B65A9C5" w14:textId="77777777" w:rsidR="00793ECC" w:rsidRPr="00863B82" w:rsidRDefault="00793ECC" w:rsidP="0085624E">
      <w:pPr>
        <w:bidi w:val="0"/>
        <w:jc w:val="lowKashida"/>
        <w:rPr>
          <w:rFonts w:ascii="Sakkal Majalla" w:hAnsi="Sakkal Majalla" w:cs="Sakkal Majalla"/>
          <w:sz w:val="32"/>
          <w:szCs w:val="32"/>
        </w:rPr>
      </w:pPr>
    </w:p>
    <w:p w14:paraId="2A3B903B" w14:textId="6B7D279D"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To begin with, it should be noted that the judicial system in the Kingdom of Bahrain previously recognized specialized courts for children in criminal matters, known as the Juvenile Court. With the issuance of the Child Restorative Justice Law in 2021, the Restorative Justice Court for Children was established, granting it broader and more comprehensive powers to address the </w:t>
      </w:r>
      <w:r w:rsidRPr="00863B82">
        <w:rPr>
          <w:rFonts w:ascii="Sakkal Majalla" w:hAnsi="Sakkal Majalla" w:cs="Sakkal Majalla"/>
          <w:sz w:val="32"/>
          <w:szCs w:val="32"/>
        </w:rPr>
        <w:lastRenderedPageBreak/>
        <w:t>various circumstances surrounding children in conflict with the law. The law includes provisions ensuring full consideration of the child’s best interests during investigation and trial procedures. It also created a strong link between these judicial procedures and the expertise of child-focused institutions regarding the child’s psychological and social conditions, enabling the Restorative Justice Court to issue judgments that truly serve the child’s best interests, ensuring effective guidance, behavioral correction, and protection from all forms of risk.</w:t>
      </w:r>
    </w:p>
    <w:p w14:paraId="4A18ED3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law reflects the Kingdom’s longstanding principles regarding child welfare—enshrined constitutionally, legislatively, and institutionally—and reaffirms Bahrain’s commitment as an active member of the international community to global treaties, particularly the UN Convention on the Rights of the Child. In this context, the new law raised the legal definition of a child to 18 years of age.</w:t>
      </w:r>
    </w:p>
    <w:p w14:paraId="39504EC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It is noteworthy that the new law also established, alongside the Restorative Justice Court, a Judicial Committee tasked with examining cases of children exposed to risk or mistreatment. The law requires that the child’s best interests be considered in every procedure.</w:t>
      </w:r>
    </w:p>
    <w:p w14:paraId="58EA602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law stipulates that children under the age of fifteen bear no criminal responsibility. If a child under fifteen is found to be in a situation of risk, the Judicial Committee for Childhood may impose any of the following measures:</w:t>
      </w:r>
    </w:p>
    <w:p w14:paraId="3276FBA1"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Warning, reprimanding, or admonishing the child.</w:t>
      </w:r>
    </w:p>
    <w:p w14:paraId="19A00BF5"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Handing the child over to a guardian or responsible caregiver.</w:t>
      </w:r>
    </w:p>
    <w:p w14:paraId="2BF77FE2"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Requiring the child to apologize to the victim.</w:t>
      </w:r>
    </w:p>
    <w:p w14:paraId="50F1DEB0"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Placing the child under the supervision of a responsible adult relative.</w:t>
      </w:r>
    </w:p>
    <w:p w14:paraId="69F8DAC1"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Placing the child under judicial probation.</w:t>
      </w:r>
    </w:p>
    <w:p w14:paraId="0AED0FA2"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 xml:space="preserve">Enrolling the child in training or rehabilitation </w:t>
      </w:r>
      <w:proofErr w:type="gramStart"/>
      <w:r w:rsidRPr="00863B82">
        <w:rPr>
          <w:rFonts w:ascii="Sakkal Majalla" w:hAnsi="Sakkal Majalla" w:cs="Sakkal Majalla"/>
          <w:sz w:val="32"/>
          <w:szCs w:val="32"/>
        </w:rPr>
        <w:t>programs, or</w:t>
      </w:r>
      <w:proofErr w:type="gramEnd"/>
      <w:r w:rsidRPr="00863B82">
        <w:rPr>
          <w:rFonts w:ascii="Sakkal Majalla" w:hAnsi="Sakkal Majalla" w:cs="Sakkal Majalla"/>
          <w:sz w:val="32"/>
          <w:szCs w:val="32"/>
        </w:rPr>
        <w:t xml:space="preserve"> subjecting them to national educational programs to ensure reintegration.</w:t>
      </w:r>
    </w:p>
    <w:p w14:paraId="437D7472"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Prohibiting the child from entering certain places or requiring them to appear before designated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at specific times.</w:t>
      </w:r>
    </w:p>
    <w:p w14:paraId="3EE914E7"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Placing the child in a specialized hospital.</w:t>
      </w:r>
    </w:p>
    <w:p w14:paraId="0ED3B371"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Placing the child in a social welfare institution affiliated with the Ministry of Social Development.</w:t>
      </w:r>
    </w:p>
    <w:p w14:paraId="6A97C180" w14:textId="77777777" w:rsidR="002F2642" w:rsidRPr="00863B82" w:rsidRDefault="002F2642" w:rsidP="0085624E">
      <w:pPr>
        <w:numPr>
          <w:ilvl w:val="0"/>
          <w:numId w:val="12"/>
        </w:numPr>
        <w:bidi w:val="0"/>
        <w:jc w:val="lowKashida"/>
        <w:rPr>
          <w:rFonts w:ascii="Sakkal Majalla" w:hAnsi="Sakkal Majalla" w:cs="Sakkal Majalla"/>
          <w:sz w:val="32"/>
          <w:szCs w:val="32"/>
        </w:rPr>
      </w:pPr>
      <w:r w:rsidRPr="00863B82">
        <w:rPr>
          <w:rFonts w:ascii="Sakkal Majalla" w:hAnsi="Sakkal Majalla" w:cs="Sakkal Majalla"/>
          <w:sz w:val="32"/>
          <w:szCs w:val="32"/>
        </w:rPr>
        <w:t>Requiring the child to participate in certain voluntary activities.</w:t>
      </w:r>
    </w:p>
    <w:p w14:paraId="5AE7485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Furthermore, children under the age of fifteen may not be detained pending investigation, in accordance with Article (69) of the law.</w:t>
      </w:r>
    </w:p>
    <w:p w14:paraId="75CEAFE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With respect to children who have reached the age of fifteen but not yet eighteen, the law requires that penalties be reduced as follows:</w:t>
      </w:r>
    </w:p>
    <w:p w14:paraId="153E4420" w14:textId="77777777" w:rsidR="002F2642" w:rsidRPr="00863B82" w:rsidRDefault="002F2642" w:rsidP="0085624E">
      <w:pPr>
        <w:numPr>
          <w:ilvl w:val="0"/>
          <w:numId w:val="13"/>
        </w:numPr>
        <w:bidi w:val="0"/>
        <w:jc w:val="lowKashida"/>
        <w:rPr>
          <w:rFonts w:ascii="Sakkal Majalla" w:hAnsi="Sakkal Majalla" w:cs="Sakkal Majalla"/>
          <w:sz w:val="32"/>
          <w:szCs w:val="32"/>
        </w:rPr>
      </w:pPr>
      <w:r w:rsidRPr="00863B82">
        <w:rPr>
          <w:rFonts w:ascii="Sakkal Majalla" w:hAnsi="Sakkal Majalla" w:cs="Sakkal Majalla"/>
          <w:sz w:val="32"/>
          <w:szCs w:val="32"/>
        </w:rPr>
        <w:t>If the crime carries the death penalty, it shall be reduced to temporary imprisonment or at least one year of detention. If the punishment is life imprisonment or temporary imprisonment, it shall be reduced to a misdemeanor penalty.</w:t>
      </w:r>
    </w:p>
    <w:p w14:paraId="10C83CFF" w14:textId="77777777" w:rsidR="002F2642" w:rsidRPr="00863B82" w:rsidRDefault="002F2642" w:rsidP="0085624E">
      <w:pPr>
        <w:numPr>
          <w:ilvl w:val="0"/>
          <w:numId w:val="13"/>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If the crime is a misdemeanor carrying a minimum penalty, the judge is not bound by that minimum. If the punishment is both imprisonment and a fine, the judge may impose only one. If the penalty is </w:t>
      </w:r>
      <w:proofErr w:type="gramStart"/>
      <w:r w:rsidRPr="00863B82">
        <w:rPr>
          <w:rFonts w:ascii="Sakkal Majalla" w:hAnsi="Sakkal Majalla" w:cs="Sakkal Majalla"/>
          <w:sz w:val="32"/>
          <w:szCs w:val="32"/>
        </w:rPr>
        <w:t>imprisonment</w:t>
      </w:r>
      <w:proofErr w:type="gramEnd"/>
      <w:r w:rsidRPr="00863B82">
        <w:rPr>
          <w:rFonts w:ascii="Sakkal Majalla" w:hAnsi="Sakkal Majalla" w:cs="Sakkal Majalla"/>
          <w:sz w:val="32"/>
          <w:szCs w:val="32"/>
        </w:rPr>
        <w:t xml:space="preserve"> without a specified minimum, the judge may replace it with a fine.</w:t>
      </w:r>
    </w:p>
    <w:p w14:paraId="6CD8AD0B" w14:textId="77777777" w:rsidR="002F2642" w:rsidRPr="00863B82" w:rsidRDefault="002F2642" w:rsidP="0085624E">
      <w:pPr>
        <w:numPr>
          <w:ilvl w:val="0"/>
          <w:numId w:val="13"/>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If the crime includes an excuse or mitigating circumstance, the same provisions apply, and the court may replace imprisonment or a fine with any of the measures provided in Articles (16), (18), (19), (20), (21), (22), (23), (24), (25), and (26) of this law.</w:t>
      </w:r>
    </w:p>
    <w:p w14:paraId="4F7377DB" w14:textId="77777777" w:rsidR="002F2642" w:rsidRPr="00863B82" w:rsidRDefault="002F2642" w:rsidP="0085624E">
      <w:pPr>
        <w:numPr>
          <w:ilvl w:val="0"/>
          <w:numId w:val="13"/>
        </w:numPr>
        <w:bidi w:val="0"/>
        <w:jc w:val="lowKashida"/>
        <w:rPr>
          <w:rFonts w:ascii="Sakkal Majalla" w:hAnsi="Sakkal Majalla" w:cs="Sakkal Majalla"/>
          <w:sz w:val="32"/>
          <w:szCs w:val="32"/>
        </w:rPr>
      </w:pPr>
      <w:r w:rsidRPr="00863B82">
        <w:rPr>
          <w:rFonts w:ascii="Sakkal Majalla" w:hAnsi="Sakkal Majalla" w:cs="Sakkal Majalla"/>
          <w:sz w:val="32"/>
          <w:szCs w:val="32"/>
        </w:rPr>
        <w:t>If a child over fifteen is sentenced to a custodial penalty, the competent Restorative Justice Court must monitor the child’s progress based on periodic reports submitted by the Reform and Rehabilitation Center at least every six months, or as otherwise determined by the court, in order to decide whether to continue enforcing the sentence or replace it with one of the measures mentioned above</w:t>
      </w:r>
      <w:r w:rsidRPr="00863B82">
        <w:rPr>
          <w:rFonts w:ascii="Sakkal Majalla" w:hAnsi="Sakkal Majalla" w:cs="Sakkal Majalla"/>
          <w:sz w:val="32"/>
          <w:szCs w:val="32"/>
          <w:rtl/>
        </w:rPr>
        <w:t>.</w:t>
      </w:r>
    </w:p>
    <w:p w14:paraId="7C051DDA" w14:textId="776C1E45" w:rsidR="00A41408" w:rsidRPr="00863B82" w:rsidRDefault="00A41408"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As part of strengthening non-custodial measures for juveniles, this category benefited from the system of alternative sanctions and measures adopted by the Kingdom of Bahrain under Law No. (18) of 2017, prior to the enactment of Law No. (4) of 2021 on Juvenile Reformative Justice. Since the program’s inception, a total of 528 juveniles </w:t>
      </w:r>
      <w:proofErr w:type="gramStart"/>
      <w:r w:rsidRPr="00863B82">
        <w:rPr>
          <w:rFonts w:ascii="Sakkal Majalla" w:hAnsi="Sakkal Majalla" w:cs="Sakkal Majalla"/>
          <w:sz w:val="32"/>
          <w:szCs w:val="32"/>
        </w:rPr>
        <w:t>have</w:t>
      </w:r>
      <w:proofErr w:type="gramEnd"/>
      <w:r w:rsidRPr="00863B82">
        <w:rPr>
          <w:rFonts w:ascii="Sakkal Majalla" w:hAnsi="Sakkal Majalla" w:cs="Sakkal Majalla"/>
          <w:sz w:val="32"/>
          <w:szCs w:val="32"/>
        </w:rPr>
        <w:t xml:space="preserve"> benefited from these measures, which enable them to participate in specialized educational and rehabilitative programs</w:t>
      </w:r>
      <w:r w:rsidRPr="00863B82">
        <w:rPr>
          <w:rFonts w:ascii="Sakkal Majalla" w:hAnsi="Sakkal Majalla" w:cs="Sakkal Majalla"/>
          <w:sz w:val="32"/>
          <w:szCs w:val="32"/>
          <w:rtl/>
        </w:rPr>
        <w:t>.</w:t>
      </w:r>
    </w:p>
    <w:p w14:paraId="34CE3983" w14:textId="6B5740E9" w:rsidR="00A41408" w:rsidRPr="00863B82" w:rsidRDefault="00A41408"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Furthermore, in implementation of Article 87 of the law, a judicial committee was established, composed of the President of the Juvenile Major Reformative Court, a judge from the Juvenile Minor Reformative Court, a judge from the Penalties Execution Court, and a member of the Public Prosecution. The committee’s mandate is to review requests to replace sentences issued prior to the law’s entry into force, based on reports from the Reform and Rehabilitation Center. This committee has commenced its work and has ordered the replacement of sentences for numerous convicts. The alternative measures have included participation in volunteer activities, community service, enrollment in training and rehabilitative programs, placement in social institutions, and being placed under judicial probation.</w:t>
      </w:r>
    </w:p>
    <w:p w14:paraId="1BC9E5F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Regarding the legislative framework for protecting children from corporal punishment, the Restorative Justice for Children and Their Protection from Maltreatment Law, issued under Law No. (4) of 2021 and amended by Law No. (21) of 2025, prohibits all forms of physical or psychological harm against children, including corporal punishment. The law states that “maltreatment includes any act or omission that results in direct or indirect harm to the child, including physical, psychological, or sexual abuse, neglect, and economic exploitation</w:t>
      </w:r>
      <w:r w:rsidRPr="00863B82">
        <w:rPr>
          <w:rFonts w:ascii="Sakkal Majalla" w:hAnsi="Sakkal Majalla" w:cs="Sakkal Majalla"/>
          <w:sz w:val="32"/>
          <w:szCs w:val="32"/>
          <w:rtl/>
        </w:rPr>
        <w:t>.”</w:t>
      </w:r>
    </w:p>
    <w:p w14:paraId="2B87698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Family Violence </w:t>
      </w:r>
      <w:proofErr w:type="gramStart"/>
      <w:r w:rsidRPr="00863B82">
        <w:rPr>
          <w:rFonts w:ascii="Sakkal Majalla" w:hAnsi="Sakkal Majalla" w:cs="Sakkal Majalla"/>
          <w:sz w:val="32"/>
          <w:szCs w:val="32"/>
        </w:rPr>
        <w:t>Protection Law</w:t>
      </w:r>
      <w:proofErr w:type="gramEnd"/>
      <w:r w:rsidRPr="00863B82">
        <w:rPr>
          <w:rFonts w:ascii="Sakkal Majalla" w:hAnsi="Sakkal Majalla" w:cs="Sakkal Majalla"/>
          <w:sz w:val="32"/>
          <w:szCs w:val="32"/>
        </w:rPr>
        <w:t xml:space="preserve"> No. (17) of 2015 also affirms the protection of all family members from any physical or psychological violence and requires legal measures to protect victims and hold perpetrators accountable. The law defines family violence as any harmful act occurring within the family committed by one member (“the aggressor”) against another (“the victim”)</w:t>
      </w:r>
      <w:r w:rsidRPr="00863B82">
        <w:rPr>
          <w:rFonts w:ascii="Sakkal Majalla" w:hAnsi="Sakkal Majalla" w:cs="Sakkal Majalla"/>
          <w:sz w:val="32"/>
          <w:szCs w:val="32"/>
          <w:rtl/>
        </w:rPr>
        <w:t>.</w:t>
      </w:r>
    </w:p>
    <w:p w14:paraId="04E7459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Since the concept of “family” includes spouses, their children and grandchildren, the parents of either spouse, the siblings of either spouse, and any child under the care of a foster family, a guardian or caregiver is not exempt from criminal liability if they commit any form of abuse. The scope of the law explicitly includes parents and guardians if they commit harm—whether physical, psychological, or otherwise—underscoring the legislator’s commitment to protecting children from abuse regardless of its source</w:t>
      </w:r>
      <w:r w:rsidRPr="00863B82">
        <w:rPr>
          <w:rFonts w:ascii="Sakkal Majalla" w:hAnsi="Sakkal Majalla" w:cs="Sakkal Majalla"/>
          <w:sz w:val="32"/>
          <w:szCs w:val="32"/>
          <w:rtl/>
        </w:rPr>
        <w:t>.</w:t>
      </w:r>
    </w:p>
    <w:p w14:paraId="37668A60"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law provides several protective mechanisms to safeguard children and ensure their safety by removing them from sources of harm. Under Article (12), the Public Prosecution may order the transfer of a victim—particularly children—to one of the Ministry’s shelters in family violence cases. Under Article (13), the Public Prosecution may also issue a temporary decision to remove the child from their family for protection. Furthermore, Article (15) authorizes the issuance of a protection order, and requires referring the child to the Minor Criminal Court if the child is underage or lacks legal capacity, to determine the appropriate temporary or permanent caregiver</w:t>
      </w:r>
      <w:r w:rsidRPr="00863B82">
        <w:rPr>
          <w:rFonts w:ascii="Sakkal Majalla" w:hAnsi="Sakkal Majalla" w:cs="Sakkal Majalla"/>
          <w:sz w:val="32"/>
          <w:szCs w:val="32"/>
          <w:rtl/>
        </w:rPr>
        <w:t>.</w:t>
      </w:r>
    </w:p>
    <w:p w14:paraId="73D765C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In the educational environment, the Ministry of Education places great importance on ensuring school discipline based on humane and educational principles. It issued the Student Discipline Regulations under Decision No. (279) of 2025, which prohibit the use of any form of corporal or degrading punishment and replace it with pedagogical measures based on guidance, correction, and constructive dialogue. The regulations apply to all educational facilities and school activities. The Ministry promotes a culture of positive discipline through workshops and awareness programs for students and teachers, ensuring a safe school environment founded on restorative justice and respect for the right to education</w:t>
      </w:r>
      <w:r w:rsidRPr="00863B82">
        <w:rPr>
          <w:rFonts w:ascii="Sakkal Majalla" w:hAnsi="Sakkal Majalla" w:cs="Sakkal Majalla"/>
          <w:sz w:val="32"/>
          <w:szCs w:val="32"/>
          <w:rtl/>
        </w:rPr>
        <w:t>.</w:t>
      </w:r>
    </w:p>
    <w:p w14:paraId="296797F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Nurseries and private educational institutions are directly supervised by the Ministry of Education under Decree-Law No. (25) of 1998 to ensure full compliance with child protection standards and the prohibition of any practices that compromise the child’s physical or psychological safety</w:t>
      </w:r>
      <w:r w:rsidRPr="00863B82">
        <w:rPr>
          <w:rFonts w:ascii="Sakkal Majalla" w:hAnsi="Sakkal Majalla" w:cs="Sakkal Majalla"/>
          <w:sz w:val="32"/>
          <w:szCs w:val="32"/>
          <w:rtl/>
        </w:rPr>
        <w:t>.</w:t>
      </w:r>
    </w:p>
    <w:p w14:paraId="063EE749"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In December 2024, the Ombudsman Office established a specialized unit dedicated to monitoring juvenile detention centers, in line with recommendations from the Universal Periodic Review (UPR), thereby enhancing preventive protection for children and juvenile detainees. The Restorative Justice Law for Children (2021) guarantees confidentiality of complaints, swift response, and accessible reporting mechanisms for children and their families</w:t>
      </w:r>
      <w:r w:rsidRPr="00863B82">
        <w:rPr>
          <w:rFonts w:ascii="Sakkal Majalla" w:hAnsi="Sakkal Majalla" w:cs="Sakkal Majalla"/>
          <w:sz w:val="32"/>
          <w:szCs w:val="32"/>
          <w:rtl/>
        </w:rPr>
        <w:t>.</w:t>
      </w:r>
    </w:p>
    <w:p w14:paraId="363B803C"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Regarding Social and family welfare, the Ministry of Social Development oversees the implementation of the Restorative Justice Law and plays a preventive and rehabilitative role in protecting children from harm or cruel or degrading treatment, through the Child Protection Center and specialized committees. These entities provide psychological and social support and follow up on children at risk within an integrated protection system. The Ministry also monitors foster families through regular visits to ensure proper treatment and </w:t>
      </w:r>
      <w:proofErr w:type="gramStart"/>
      <w:r w:rsidRPr="00863B82">
        <w:rPr>
          <w:rFonts w:ascii="Sakkal Majalla" w:hAnsi="Sakkal Majalla" w:cs="Sakkal Majalla"/>
          <w:sz w:val="32"/>
          <w:szCs w:val="32"/>
        </w:rPr>
        <w:t>care, and</w:t>
      </w:r>
      <w:proofErr w:type="gramEnd"/>
      <w:r w:rsidRPr="00863B82">
        <w:rPr>
          <w:rFonts w:ascii="Sakkal Majalla" w:hAnsi="Sakkal Majalla" w:cs="Sakkal Majalla"/>
          <w:sz w:val="32"/>
          <w:szCs w:val="32"/>
        </w:rPr>
        <w:t xml:space="preserve"> may revoke foster arrangements in cases of proven abuse or neglect</w:t>
      </w:r>
      <w:r w:rsidRPr="00863B82">
        <w:rPr>
          <w:rFonts w:ascii="Sakkal Majalla" w:hAnsi="Sakkal Majalla" w:cs="Sakkal Majalla"/>
          <w:sz w:val="32"/>
          <w:szCs w:val="32"/>
          <w:rtl/>
        </w:rPr>
        <w:t>.</w:t>
      </w:r>
    </w:p>
    <w:p w14:paraId="23B357CA"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In correctional and rehabilitation institutions, the Ministry of Interior enforces the Restorative Justice Law to ensure the best interests of the child. Custodial sentences are applied in environments suitable for children, with separation by age groups, and provision of rehabilitative and educational programs that consider psychological and social needs. No form of corporal punishment or coercive practice is permitted</w:t>
      </w:r>
      <w:r w:rsidRPr="00863B82">
        <w:rPr>
          <w:rFonts w:ascii="Sakkal Majalla" w:hAnsi="Sakkal Majalla" w:cs="Sakkal Majalla"/>
          <w:sz w:val="32"/>
          <w:szCs w:val="32"/>
          <w:rtl/>
        </w:rPr>
        <w:t>.</w:t>
      </w:r>
    </w:p>
    <w:p w14:paraId="323B99A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comprehensive legislative and procedural system reflects the Kingdom of Bahrain’s strong commitment to protecting children from all forms of violence and degrading treatment, and to establishing safe family, educational, and rehabilitative environments based on respect, dignity, and restorative justice—upholding national efforts to protect human rights in line with international best practices</w:t>
      </w:r>
      <w:r w:rsidRPr="00863B82">
        <w:rPr>
          <w:rFonts w:ascii="Sakkal Majalla" w:hAnsi="Sakkal Majalla" w:cs="Sakkal Majalla"/>
          <w:sz w:val="32"/>
          <w:szCs w:val="32"/>
          <w:rtl/>
        </w:rPr>
        <w:t>.</w:t>
      </w:r>
    </w:p>
    <w:p w14:paraId="338186A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National legislation and policies emphasize positive upbringing and respect for human </w:t>
      </w:r>
      <w:proofErr w:type="gramStart"/>
      <w:r w:rsidRPr="00863B82">
        <w:rPr>
          <w:rFonts w:ascii="Sakkal Majalla" w:hAnsi="Sakkal Majalla" w:cs="Sakkal Majalla"/>
          <w:sz w:val="32"/>
          <w:szCs w:val="32"/>
        </w:rPr>
        <w:t>dignity, and</w:t>
      </w:r>
      <w:proofErr w:type="gramEnd"/>
      <w:r w:rsidRPr="00863B82">
        <w:rPr>
          <w:rFonts w:ascii="Sakkal Majalla" w:hAnsi="Sakkal Majalla" w:cs="Sakkal Majalla"/>
          <w:sz w:val="32"/>
          <w:szCs w:val="32"/>
        </w:rPr>
        <w:t xml:space="preserve"> reinforce the principle of protection from all forms of violence or abuse, including corporal punishment, within a comprehensive reform-based approach aimed at individual development and safeguarding rights in accordance with the highest international standards</w:t>
      </w:r>
      <w:r w:rsidRPr="00863B82">
        <w:rPr>
          <w:rFonts w:ascii="Sakkal Majalla" w:hAnsi="Sakkal Majalla" w:cs="Sakkal Majalla"/>
          <w:sz w:val="32"/>
          <w:szCs w:val="32"/>
          <w:rtl/>
        </w:rPr>
        <w:t>.</w:t>
      </w:r>
    </w:p>
    <w:p w14:paraId="0B16EA3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Regarding the role of healthcare institutions, Hospitals and public healthcare facilities play a fundamental role in combating family violence. They serve as the first point of contact for victims, enabling early detection of physical and psychological injuries and ensuring access to appropriate medical and psychological care, while documenting injuries accurately and maintaining confidentiality. This role is grounded in national legislation prohibiting family violence and mandating comprehensive healthcare for victims, including laws on family, child, and women protection, and healthcare practice regulations, which require independent medical examination, professional documentation, confidentiality, and mandatory reporting of suspected abuse—without affecting medical independence</w:t>
      </w:r>
      <w:r w:rsidRPr="00863B82">
        <w:rPr>
          <w:rFonts w:ascii="Sakkal Majalla" w:hAnsi="Sakkal Majalla" w:cs="Sakkal Majalla"/>
          <w:sz w:val="32"/>
          <w:szCs w:val="32"/>
          <w:rtl/>
        </w:rPr>
        <w:t>.</w:t>
      </w:r>
    </w:p>
    <w:p w14:paraId="09231E8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Healthcare providers also coordinate with legal and social authorities and refer cases to specialized services when necessary. They participate in community-awareness programs and receive continuous training to detect signs of family violence and apply effective intervention methods. These integrated practices contribute to victim protection, safeguarding their rights, and reinforcing the state’s compliance with human rights conventions and international standards on combating family violence</w:t>
      </w:r>
      <w:r w:rsidRPr="00863B82">
        <w:rPr>
          <w:rFonts w:ascii="Sakkal Majalla" w:hAnsi="Sakkal Majalla" w:cs="Sakkal Majalla"/>
          <w:sz w:val="32"/>
          <w:szCs w:val="32"/>
          <w:rtl/>
        </w:rPr>
        <w:t>.</w:t>
      </w:r>
    </w:p>
    <w:p w14:paraId="235650B9"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Regarding the claim that healthcare does not reach child justice facilities, the state affirms that Bahraini legislation firmly guarantees the right of detained children to comprehensive healthcare within the restorative justice system. The Restorative Justice Law establishes the best interests of the child as the guiding principle in all procedures, including medical examination and follow-up</w:t>
      </w:r>
      <w:r w:rsidRPr="00863B82">
        <w:rPr>
          <w:rFonts w:ascii="Sakkal Majalla" w:hAnsi="Sakkal Majalla" w:cs="Sakkal Majalla"/>
          <w:sz w:val="32"/>
          <w:szCs w:val="32"/>
          <w:rtl/>
        </w:rPr>
        <w:t>.</w:t>
      </w:r>
    </w:p>
    <w:p w14:paraId="41638779"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Healthcare obligations within these facilities extend beyond basic examination to include psychological support, medical treatment, and rehabilitation where needed, with coordination with the Child Protection Center for reporting and follow-up, particularly in cases of confirmed risk or maltreatment. Recent legislative amendments further expand the Child Protection Center’s authority to monitor the child's health and educational status and provide regular updates to judicial authorities</w:t>
      </w:r>
      <w:r w:rsidRPr="00863B82">
        <w:rPr>
          <w:rFonts w:ascii="Sakkal Majalla" w:hAnsi="Sakkal Majalla" w:cs="Sakkal Majalla"/>
          <w:sz w:val="32"/>
          <w:szCs w:val="32"/>
          <w:rtl/>
        </w:rPr>
        <w:t>.</w:t>
      </w:r>
    </w:p>
    <w:p w14:paraId="192B3589" w14:textId="32D4C97D"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Doctors and healthcare professionals in these centers provide independent and impartial assessments of each child’s condition, with a legal and ethical duty to document injuries, ensure appropriate healthcare, and operate without interference from security or judicial authorities. This approach reflects the restorative justice philosophy, which prioritizes rehabilitation over detention and supports preventive intervention to promote safe reintegration into society</w:t>
      </w:r>
      <w:r w:rsidRPr="00863B82">
        <w:rPr>
          <w:rFonts w:ascii="Sakkal Majalla" w:hAnsi="Sakkal Majalla" w:cs="Sakkal Majalla"/>
          <w:sz w:val="32"/>
          <w:szCs w:val="32"/>
          <w:rtl/>
        </w:rPr>
        <w:t>.</w:t>
      </w:r>
    </w:p>
    <w:p w14:paraId="29B18038" w14:textId="77777777"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 xml:space="preserve">Accordingly, the claim that healthcare is not provided is inaccurate; the state ensures through a robust legislative and procedural framework that healthcare services form an integral part of the </w:t>
      </w:r>
      <w:r w:rsidRPr="00863B82">
        <w:rPr>
          <w:rFonts w:ascii="Sakkal Majalla" w:hAnsi="Sakkal Majalla" w:cs="Sakkal Majalla"/>
          <w:sz w:val="32"/>
          <w:szCs w:val="32"/>
        </w:rPr>
        <w:lastRenderedPageBreak/>
        <w:t>restorative justice system—protecting children’s health and dignity and strengthening Bahrain’s commitment to human rights standards and international justice.</w:t>
      </w:r>
    </w:p>
    <w:p w14:paraId="1990A7B5" w14:textId="462ECE98"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DC6B40" w:rsidRPr="00863B82">
        <w:rPr>
          <w:rFonts w:ascii="Sakkal Majalla" w:hAnsi="Sakkal Majalla" w:cs="Sakkal Majalla"/>
          <w:b/>
          <w:bCs/>
          <w:sz w:val="32"/>
          <w:szCs w:val="32"/>
        </w:rPr>
        <w:t xml:space="preserve"> 14</w:t>
      </w:r>
      <w:r w:rsidRPr="00863B82">
        <w:rPr>
          <w:rFonts w:ascii="Sakkal Majalla" w:hAnsi="Sakkal Majalla" w:cs="Sakkal Majalla"/>
          <w:b/>
          <w:bCs/>
          <w:sz w:val="32"/>
          <w:szCs w:val="32"/>
        </w:rPr>
        <w:t>: Developing Women's Criminal Protection</w:t>
      </w:r>
    </w:p>
    <w:p w14:paraId="5D7E898B"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b/>
          <w:bCs/>
          <w:sz w:val="32"/>
          <w:szCs w:val="32"/>
        </w:rPr>
      </w:pPr>
      <w:r w:rsidRPr="00863B82">
        <w:rPr>
          <w:rFonts w:ascii="Sakkal Majalla" w:eastAsia="Times New Roman" w:hAnsi="Sakkal Majalla" w:cs="Sakkal Majalla"/>
          <w:b/>
          <w:bCs/>
          <w:sz w:val="32"/>
          <w:szCs w:val="32"/>
        </w:rPr>
        <w:t>Regarding the Concept of Marital Rape</w:t>
      </w:r>
    </w:p>
    <w:p w14:paraId="5A6F7B93"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Article (5) of the Family Law defines the marriage contract as:</w:t>
      </w:r>
      <w:r w:rsidRPr="00863B82">
        <w:rPr>
          <w:rFonts w:ascii="Sakkal Majalla" w:eastAsia="Times New Roman" w:hAnsi="Sakkal Majalla" w:cs="Sakkal Majalla"/>
          <w:sz w:val="32"/>
          <w:szCs w:val="32"/>
        </w:rPr>
        <w:br/>
        <w:t xml:space="preserve">“A lawful contract between a man and a woman to form a family, subject to required conditions and pillars, free of impediments. Its purpose is companionship and chastity, and it results in reciprocal legal rights and </w:t>
      </w:r>
      <w:proofErr w:type="gramStart"/>
      <w:r w:rsidRPr="00863B82">
        <w:rPr>
          <w:rFonts w:ascii="Sakkal Majalla" w:eastAsia="Times New Roman" w:hAnsi="Sakkal Majalla" w:cs="Sakkal Majalla"/>
          <w:sz w:val="32"/>
          <w:szCs w:val="32"/>
        </w:rPr>
        <w:t>obligations.”</w:t>
      </w:r>
      <w:proofErr w:type="gramEnd"/>
    </w:p>
    <w:p w14:paraId="01E4ADB1"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Accordingly, based on the definition of marriage as a contract regulating family relations and establishing reciprocal rights and obligations between spouses, it is built upon good treatment, harmonious cohabitation, and mutual respect.</w:t>
      </w:r>
    </w:p>
    <w:p w14:paraId="3CE8195F"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Article (38) of the Family Law outlines the mutual rights and duties of spouses, including:</w:t>
      </w:r>
    </w:p>
    <w:p w14:paraId="2F222296" w14:textId="77777777" w:rsidR="002F2642" w:rsidRPr="00863B82" w:rsidRDefault="002F2642" w:rsidP="0085624E">
      <w:pPr>
        <w:numPr>
          <w:ilvl w:val="0"/>
          <w:numId w:val="14"/>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Each spouse’s enjoyment of the other and ensuring chastity.</w:t>
      </w:r>
    </w:p>
    <w:p w14:paraId="4B95B380" w14:textId="77777777" w:rsidR="002F2642" w:rsidRPr="00863B82" w:rsidRDefault="002F2642" w:rsidP="0085624E">
      <w:pPr>
        <w:numPr>
          <w:ilvl w:val="0"/>
          <w:numId w:val="14"/>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Good companionship and safeguarding the family.</w:t>
      </w:r>
    </w:p>
    <w:p w14:paraId="49141BA1"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The absence of a specific legal provision criminalizing “marital rape” in Bahraini law does not imply that it is permissible. Under Bahraini law, rape is not categorized as "marital rape" if a valid marriage exists; however, any violent act is legally classified as physical or psychological assault.</w:t>
      </w:r>
    </w:p>
    <w:p w14:paraId="2374B912"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The Domestic Violence Protection Law (Law No. 17 of 2015) defines sexual abuse as:</w:t>
      </w:r>
    </w:p>
    <w:p w14:paraId="4FECA940"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Actions committed by the perpetrator against the victim, including:</w:t>
      </w:r>
    </w:p>
    <w:p w14:paraId="4525E18E" w14:textId="77777777" w:rsidR="002F2642" w:rsidRPr="00863B82" w:rsidRDefault="002F2642" w:rsidP="0085624E">
      <w:pPr>
        <w:numPr>
          <w:ilvl w:val="0"/>
          <w:numId w:val="15"/>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 xml:space="preserve">(a) Sexual assault or </w:t>
      </w:r>
      <w:proofErr w:type="gramStart"/>
      <w:r w:rsidRPr="00863B82">
        <w:rPr>
          <w:rFonts w:ascii="Sakkal Majalla" w:eastAsia="Times New Roman" w:hAnsi="Sakkal Majalla" w:cs="Sakkal Majalla"/>
          <w:sz w:val="32"/>
          <w:szCs w:val="32"/>
        </w:rPr>
        <w:t>coercion, or</w:t>
      </w:r>
      <w:proofErr w:type="gramEnd"/>
      <w:r w:rsidRPr="00863B82">
        <w:rPr>
          <w:rFonts w:ascii="Sakkal Majalla" w:eastAsia="Times New Roman" w:hAnsi="Sakkal Majalla" w:cs="Sakkal Majalla"/>
          <w:sz w:val="32"/>
          <w:szCs w:val="32"/>
        </w:rPr>
        <w:t xml:space="preserve"> exploiting the victim in any manner to satisfy the perpetrator’s sexual desires or those of another.</w:t>
      </w:r>
    </w:p>
    <w:p w14:paraId="594ACE3D" w14:textId="77777777" w:rsidR="002F2642" w:rsidRPr="00863B82" w:rsidRDefault="002F2642" w:rsidP="0085624E">
      <w:pPr>
        <w:numPr>
          <w:ilvl w:val="0"/>
          <w:numId w:val="15"/>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(b) Exposing the victim to sexual acts or materials.</w:t>
      </w:r>
    </w:p>
    <w:p w14:paraId="25D6E935"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lastRenderedPageBreak/>
        <w:t>Any act of physical, psychological, sexual, or economic violence committed within the family—whether by a husband, a brother, or any family member—falls under Law No. 17 of 2015 and is also punishable under the Penal Code, which criminalizes rape in general without specifying the perpetrator’s relationship to the victim. Rape is defined as having intercourse with a woman without her consent, as outlined in Articles (333–356) of the Bahraini Penal Code.</w:t>
      </w:r>
    </w:p>
    <w:p w14:paraId="40BD5113"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 xml:space="preserve">Thus, women are protected from all forms of violence, including spousal violence. Physical harm inflicted upon a wife is treated as one of the most severe forms of domestic violence and is classified under general assault crimes applicable to both men and women, </w:t>
      </w:r>
      <w:proofErr w:type="gramStart"/>
      <w:r w:rsidRPr="00863B82">
        <w:rPr>
          <w:rFonts w:ascii="Sakkal Majalla" w:eastAsia="Times New Roman" w:hAnsi="Sakkal Majalla" w:cs="Sakkal Majalla"/>
          <w:sz w:val="32"/>
          <w:szCs w:val="32"/>
        </w:rPr>
        <w:t>and also</w:t>
      </w:r>
      <w:proofErr w:type="gramEnd"/>
      <w:r w:rsidRPr="00863B82">
        <w:rPr>
          <w:rFonts w:ascii="Sakkal Majalla" w:eastAsia="Times New Roman" w:hAnsi="Sakkal Majalla" w:cs="Sakkal Majalla"/>
          <w:sz w:val="32"/>
          <w:szCs w:val="32"/>
        </w:rPr>
        <w:t xml:space="preserve"> as a family-related offense. Severe penalties are imposed, with enhanced punishment when the victim is a direct relative of the perpetrator or when aggravating circumstances exist per Article (333).</w:t>
      </w:r>
    </w:p>
    <w:p w14:paraId="39DC0FEF"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If physical assault results in death without intent to kill, the punishment may reach up to seven years’ imprisonment under Article (336). Lesser assaults are punishable by imprisonment of up to one year or a fine not exceeding 100 dinars.</w:t>
      </w:r>
    </w:p>
    <w:p w14:paraId="4A5C08FC"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 woman subjected to violence may also claim civil compensation under the Civil Code.</w:t>
      </w:r>
    </w:p>
    <w:p w14:paraId="47D17820"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b/>
          <w:bCs/>
          <w:sz w:val="32"/>
          <w:szCs w:val="32"/>
        </w:rPr>
      </w:pPr>
      <w:r w:rsidRPr="00863B82">
        <w:rPr>
          <w:rFonts w:ascii="Sakkal Majalla" w:eastAsia="Times New Roman" w:hAnsi="Sakkal Majalla" w:cs="Sakkal Majalla"/>
          <w:b/>
          <w:bCs/>
          <w:sz w:val="32"/>
          <w:szCs w:val="32"/>
        </w:rPr>
        <w:t>Regarding Polygamy</w:t>
      </w:r>
    </w:p>
    <w:p w14:paraId="49FA2F87" w14:textId="77777777" w:rsidR="002F2642" w:rsidRPr="00863B82" w:rsidRDefault="002F2642" w:rsidP="0085624E">
      <w:pPr>
        <w:numPr>
          <w:ilvl w:val="0"/>
          <w:numId w:val="16"/>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 xml:space="preserve">The Family Law contains no explicit provision on polygamy; however, Islamic Sharia, which is a source of legislation in Bahrain, permits a man to marry more than one wife </w:t>
      </w:r>
      <w:r w:rsidRPr="00863B82">
        <w:rPr>
          <w:rFonts w:ascii="Sakkal Majalla" w:eastAsia="Times New Roman" w:hAnsi="Sakkal Majalla" w:cs="Sakkal Majalla"/>
          <w:i/>
          <w:iCs/>
          <w:sz w:val="32"/>
          <w:szCs w:val="32"/>
        </w:rPr>
        <w:t>provided he treats them equitably</w:t>
      </w:r>
      <w:r w:rsidRPr="00863B82">
        <w:rPr>
          <w:rFonts w:ascii="Sakkal Majalla" w:eastAsia="Times New Roman" w:hAnsi="Sakkal Majalla" w:cs="Sakkal Majalla"/>
          <w:sz w:val="32"/>
          <w:szCs w:val="32"/>
        </w:rPr>
        <w:t>. The law allows a wife to stipulate in the marriage contract that her husband may not take another wife. If he violates this condition, she may seek divorce in court (Article 6).</w:t>
      </w:r>
    </w:p>
    <w:p w14:paraId="1DFE27F6" w14:textId="77777777" w:rsidR="002F2642" w:rsidRPr="00863B82" w:rsidRDefault="002F2642" w:rsidP="0085624E">
      <w:pPr>
        <w:numPr>
          <w:ilvl w:val="0"/>
          <w:numId w:val="16"/>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Polygamy is not common in Bahrain and is regulated by Sharia principles. The Family Law requires a husband to declare his marital status in the marriage contract and disclose the number of wives he has (Article 19). As such, women are fully informed before marriage, which significantly reduces polygamy cases—which are already rare.</w:t>
      </w:r>
    </w:p>
    <w:p w14:paraId="3A4FBAA5" w14:textId="77777777" w:rsidR="002F2642" w:rsidRPr="00863B82" w:rsidRDefault="002F2642" w:rsidP="0085624E">
      <w:pPr>
        <w:numPr>
          <w:ilvl w:val="0"/>
          <w:numId w:val="16"/>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lastRenderedPageBreak/>
        <w:t>A wife may stipulate the right to divorce if the husband marries another woman, or she may stipulate that he must not do so. If he breaches the condition, she may seek annulment or divorce (Article 6(</w:t>
      </w:r>
      <w:proofErr w:type="gramStart"/>
      <w:r w:rsidRPr="00863B82">
        <w:rPr>
          <w:rFonts w:ascii="Sakkal Majalla" w:eastAsia="Times New Roman" w:hAnsi="Sakkal Majalla" w:cs="Sakkal Majalla"/>
          <w:sz w:val="32"/>
          <w:szCs w:val="32"/>
        </w:rPr>
        <w:t>d))</w:t>
      </w:r>
      <w:proofErr w:type="gramEnd"/>
      <w:r w:rsidRPr="00863B82">
        <w:rPr>
          <w:rFonts w:ascii="Sakkal Majalla" w:eastAsia="Times New Roman" w:hAnsi="Sakkal Majalla" w:cs="Sakkal Majalla"/>
          <w:sz w:val="32"/>
          <w:szCs w:val="32"/>
        </w:rPr>
        <w:t>, which states that no condition is valid unless explicitly stated in the marriage contract, proven by evidence, or acknowledged by both spouses.</w:t>
      </w:r>
    </w:p>
    <w:p w14:paraId="1FB82136"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b/>
          <w:bCs/>
          <w:sz w:val="32"/>
          <w:szCs w:val="32"/>
        </w:rPr>
      </w:pPr>
      <w:r w:rsidRPr="00863B82">
        <w:rPr>
          <w:rFonts w:ascii="Sakkal Majalla" w:eastAsia="Times New Roman" w:hAnsi="Sakkal Majalla" w:cs="Sakkal Majalla"/>
          <w:b/>
          <w:bCs/>
          <w:sz w:val="32"/>
          <w:szCs w:val="32"/>
        </w:rPr>
        <w:t>Marriage Age for Minors</w:t>
      </w:r>
    </w:p>
    <w:p w14:paraId="75DEE337" w14:textId="77777777" w:rsidR="002F2642" w:rsidRPr="00863B82" w:rsidRDefault="002F2642" w:rsidP="0085624E">
      <w:pPr>
        <w:numPr>
          <w:ilvl w:val="0"/>
          <w:numId w:val="17"/>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The Family Law sets the minimum marriage age at 16 years. Article (20) states:</w:t>
      </w:r>
      <w:r w:rsidRPr="00863B82">
        <w:rPr>
          <w:rFonts w:ascii="Sakkal Majalla" w:eastAsia="Times New Roman" w:hAnsi="Sakkal Majalla" w:cs="Sakkal Majalla"/>
          <w:sz w:val="32"/>
          <w:szCs w:val="32"/>
        </w:rPr>
        <w:br/>
        <w:t>“No girl under sixteen may be married except with permission of the Sharia Court after verifying the suitability of the marriage.”</w:t>
      </w:r>
    </w:p>
    <w:p w14:paraId="02BFA394" w14:textId="77777777" w:rsidR="002F2642" w:rsidRPr="00863B82" w:rsidRDefault="002F2642" w:rsidP="0085624E">
      <w:pPr>
        <w:numPr>
          <w:ilvl w:val="0"/>
          <w:numId w:val="17"/>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The Regulations for Sharia Marriage Registrars (2016) require that both spouses (male and female) be at least 16 years old at the time of marriage.</w:t>
      </w:r>
    </w:p>
    <w:p w14:paraId="0CF31C24" w14:textId="77777777" w:rsidR="002F2642" w:rsidRPr="00863B82" w:rsidRDefault="002F2642" w:rsidP="0085624E">
      <w:pPr>
        <w:numPr>
          <w:ilvl w:val="0"/>
          <w:numId w:val="17"/>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Marriage under 16 is only permitted upon request by guardians and after the Sharia Court ensures suitability. This aligns with the Child Law (Law No. 37 of 2012), which defines a child as anyone under 18, while allowing limited exceptions under special laws.</w:t>
      </w:r>
    </w:p>
    <w:p w14:paraId="658B4D79"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In practice, most girls in Bahrain marry after age 24, showing low rates of early marriage.</w:t>
      </w:r>
    </w:p>
    <w:p w14:paraId="2C27F4DD"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b/>
          <w:bCs/>
          <w:sz w:val="32"/>
          <w:szCs w:val="32"/>
        </w:rPr>
      </w:pPr>
      <w:r w:rsidRPr="00863B82">
        <w:rPr>
          <w:rFonts w:ascii="Sakkal Majalla" w:eastAsia="Times New Roman" w:hAnsi="Sakkal Majalla" w:cs="Sakkal Majalla"/>
          <w:b/>
          <w:bCs/>
          <w:sz w:val="32"/>
          <w:szCs w:val="32"/>
        </w:rPr>
        <w:t>Regarding Abortion</w:t>
      </w:r>
    </w:p>
    <w:p w14:paraId="13E98BA5"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Under Decree-Law No. 15 of 1976 (Penal Code):</w:t>
      </w:r>
    </w:p>
    <w:p w14:paraId="019EE5C1" w14:textId="77777777" w:rsidR="002F2642" w:rsidRPr="00863B82" w:rsidRDefault="002F2642" w:rsidP="0085624E">
      <w:pPr>
        <w:numPr>
          <w:ilvl w:val="0"/>
          <w:numId w:val="18"/>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b/>
          <w:bCs/>
          <w:sz w:val="32"/>
          <w:szCs w:val="32"/>
        </w:rPr>
        <w:t>Article 322:</w:t>
      </w:r>
    </w:p>
    <w:p w14:paraId="47E0C20E" w14:textId="77777777" w:rsidR="002F2642" w:rsidRPr="00863B82" w:rsidRDefault="002F2642" w:rsidP="0085624E">
      <w:pPr>
        <w:bidi w:val="0"/>
        <w:spacing w:before="100" w:beforeAutospacing="1" w:after="100" w:afterAutospacing="1" w:line="240" w:lineRule="auto"/>
        <w:ind w:left="360"/>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“Anyone who aborts a woman without her consent shall be punished by imprisonment for up to ten years.”</w:t>
      </w:r>
    </w:p>
    <w:p w14:paraId="14815B9F" w14:textId="77777777" w:rsidR="002F2642" w:rsidRPr="00863B82" w:rsidRDefault="002F2642" w:rsidP="0085624E">
      <w:pPr>
        <w:numPr>
          <w:ilvl w:val="0"/>
          <w:numId w:val="18"/>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b/>
          <w:bCs/>
          <w:sz w:val="32"/>
          <w:szCs w:val="32"/>
        </w:rPr>
        <w:t>Article 323:</w:t>
      </w:r>
    </w:p>
    <w:p w14:paraId="41A49B1C" w14:textId="77777777" w:rsidR="002F2642" w:rsidRPr="00863B82" w:rsidRDefault="002F2642" w:rsidP="0085624E">
      <w:pPr>
        <w:bidi w:val="0"/>
        <w:spacing w:before="100" w:beforeAutospacing="1" w:after="100" w:afterAutospacing="1" w:line="240" w:lineRule="auto"/>
        <w:ind w:left="360"/>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t>“If the abortion directly results in the woman’s death, the punishment is imprisonment.”</w:t>
      </w:r>
    </w:p>
    <w:p w14:paraId="62DF4B6D" w14:textId="77777777" w:rsidR="002F2642" w:rsidRPr="00863B82" w:rsidRDefault="002F2642" w:rsidP="0085624E">
      <w:pPr>
        <w:numPr>
          <w:ilvl w:val="0"/>
          <w:numId w:val="18"/>
        </w:numPr>
        <w:bidi w:val="0"/>
        <w:spacing w:before="100" w:beforeAutospacing="1" w:after="100" w:afterAutospacing="1" w:line="240" w:lineRule="auto"/>
        <w:jc w:val="lowKashida"/>
        <w:rPr>
          <w:rFonts w:ascii="Sakkal Majalla" w:eastAsia="Times New Roman" w:hAnsi="Sakkal Majalla" w:cs="Sakkal Majalla"/>
          <w:sz w:val="32"/>
          <w:szCs w:val="32"/>
        </w:rPr>
      </w:pPr>
      <w:r w:rsidRPr="00863B82">
        <w:rPr>
          <w:rFonts w:ascii="Sakkal Majalla" w:eastAsia="Times New Roman" w:hAnsi="Sakkal Majalla" w:cs="Sakkal Majalla"/>
          <w:b/>
          <w:bCs/>
          <w:sz w:val="32"/>
          <w:szCs w:val="32"/>
        </w:rPr>
        <w:t>Article 321:</w:t>
      </w:r>
    </w:p>
    <w:p w14:paraId="2B5D6EAA" w14:textId="77777777" w:rsidR="002F2642" w:rsidRPr="00863B82" w:rsidRDefault="002F2642" w:rsidP="0085624E">
      <w:pPr>
        <w:bidi w:val="0"/>
        <w:spacing w:before="100" w:beforeAutospacing="1" w:after="100" w:afterAutospacing="1" w:line="240" w:lineRule="auto"/>
        <w:ind w:left="360"/>
        <w:jc w:val="lowKashida"/>
        <w:rPr>
          <w:rFonts w:ascii="Sakkal Majalla" w:eastAsia="Times New Roman" w:hAnsi="Sakkal Majalla" w:cs="Sakkal Majalla"/>
          <w:sz w:val="32"/>
          <w:szCs w:val="32"/>
        </w:rPr>
      </w:pPr>
      <w:r w:rsidRPr="00863B82">
        <w:rPr>
          <w:rFonts w:ascii="Sakkal Majalla" w:eastAsia="Times New Roman" w:hAnsi="Sakkal Majalla" w:cs="Sakkal Majalla"/>
          <w:sz w:val="32"/>
          <w:szCs w:val="32"/>
        </w:rPr>
        <w:lastRenderedPageBreak/>
        <w:t>“A woman who aborts herself without medical consultation shall be punished with imprisonment up to six months or a fine not exceeding 50 dinars.”</w:t>
      </w:r>
    </w:p>
    <w:p w14:paraId="3A6B2FF9" w14:textId="77777777" w:rsidR="002F2642" w:rsidRPr="00863B82" w:rsidRDefault="002F2642" w:rsidP="0085624E">
      <w:pPr>
        <w:bidi w:val="0"/>
        <w:spacing w:before="100" w:beforeAutospacing="1" w:after="100" w:afterAutospacing="1" w:line="240" w:lineRule="auto"/>
        <w:jc w:val="lowKashida"/>
        <w:rPr>
          <w:rFonts w:ascii="Sakkal Majalla" w:eastAsia="Times New Roman" w:hAnsi="Sakkal Majalla" w:cs="Sakkal Majalla"/>
          <w:sz w:val="32"/>
          <w:szCs w:val="32"/>
          <w:rtl/>
        </w:rPr>
      </w:pPr>
      <w:r w:rsidRPr="00863B82">
        <w:rPr>
          <w:rFonts w:ascii="Sakkal Majalla" w:eastAsia="Times New Roman" w:hAnsi="Sakkal Majalla" w:cs="Sakkal Majalla"/>
          <w:sz w:val="32"/>
          <w:szCs w:val="32"/>
        </w:rPr>
        <w:t>The Penal Code allows abortion only in specific medically necessary circumstances, and medical regulations permit abortion when required to save the woman’s life</w:t>
      </w:r>
      <w:r w:rsidRPr="00863B82">
        <w:rPr>
          <w:rFonts w:ascii="Sakkal Majalla" w:hAnsi="Sakkal Majalla" w:cs="Sakkal Majalla"/>
          <w:sz w:val="32"/>
          <w:szCs w:val="32"/>
          <w:rtl/>
        </w:rPr>
        <w:t>.</w:t>
      </w:r>
    </w:p>
    <w:p w14:paraId="3D1C307C" w14:textId="0CB889DE"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15</w:t>
      </w:r>
      <w:r w:rsidRPr="00863B82">
        <w:rPr>
          <w:rFonts w:ascii="Sakkal Majalla" w:hAnsi="Sakkal Majalla" w:cs="Sakkal Majalla"/>
          <w:b/>
          <w:bCs/>
          <w:sz w:val="32"/>
          <w:szCs w:val="32"/>
        </w:rPr>
        <w:t>: Combating Trafficking in Persons (the most advanced framework in the region)</w:t>
      </w:r>
    </w:p>
    <w:p w14:paraId="7D7CD46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At the outset, we would like to emphasize that migrant workers enjoy the same legal guarantees and protections aimed at preventing torture and ill-treatment. They are also able to submit complaints to national oversight institutions, which have taken this into account by facilitating the complaint process in various languages suited to the needs of migrant workers in the Kingdom of Bahrain. Foreign embassies are likewise allowed to visit the Correction and Rehabilitation Center to review cases involving their nationals among inmates and detainees.</w:t>
      </w:r>
    </w:p>
    <w:p w14:paraId="38ED0E3E"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Recognizing the risks this group may face, including exploitation, human trafficking, and other crimes, the Kingdom of Bahrain has taken continuous measures to align its national legislation and policies with relevant international frameworks. In this context, Bahrain has acceded to the United Nations Convention against Transnational Organized Crime and its supplementing Protocol to Prevent, Suppress and Punish Trafficking in Persons, Especially Women and Children.</w:t>
      </w:r>
    </w:p>
    <w:p w14:paraId="79483B8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Bahrain is also a State Party to the 1926 Slavery Convention, as amended by the 1953 Protocol, and the 1956 Supplementary Convention on the Abolition of Slavery, the Slave Trade, and Institutions and Practices Similar to Slavery. Additionally, the Kingdom has ratified International Labour Organization (ILO) conventions related to combating forced labor and worker exploitation, as well as the Arab Convention on Combating Transnational Organized Crime issued by the League of Arab States.</w:t>
      </w:r>
    </w:p>
    <w:p w14:paraId="6321D16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 xml:space="preserve">At the national level, Bahrain has established a comprehensive legislative framework to combat trafficking in persons. This begins with the Constitution of the Kingdom of </w:t>
      </w:r>
      <w:proofErr w:type="gramStart"/>
      <w:r w:rsidRPr="00863B82">
        <w:rPr>
          <w:rFonts w:ascii="Sakkal Majalla" w:hAnsi="Sakkal Majalla" w:cs="Sakkal Majalla"/>
          <w:sz w:val="32"/>
          <w:szCs w:val="32"/>
        </w:rPr>
        <w:t>Bahrain, and</w:t>
      </w:r>
      <w:proofErr w:type="gramEnd"/>
      <w:r w:rsidRPr="00863B82">
        <w:rPr>
          <w:rFonts w:ascii="Sakkal Majalla" w:hAnsi="Sakkal Majalla" w:cs="Sakkal Majalla"/>
          <w:sz w:val="32"/>
          <w:szCs w:val="32"/>
        </w:rPr>
        <w:t xml:space="preserve"> includes Law No. (1) of 2008 on Combating Trafficking in Persons, the Penal Code, the Labor Law for the Private Sector, and the Labor Market Regulatory Authority Law. Together, these laws form an integrated system aimed at prevention and at protecting migrant workers from all forms of exploitation or ill-treatment.</w:t>
      </w:r>
    </w:p>
    <w:p w14:paraId="236AA74C"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framework has been strengthened through the implementation of a national policy and strategy based on three main pillars:</w:t>
      </w:r>
    </w:p>
    <w:p w14:paraId="4DA0CA67" w14:textId="77777777" w:rsidR="002F2642" w:rsidRPr="00863B82" w:rsidRDefault="002F2642"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First: Prevention and Protection</w:t>
      </w:r>
    </w:p>
    <w:p w14:paraId="2C81A94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Bahrain has established a comprehensive center for the protection and support of migrant workers, ensuring access to justice and remedies through simplified and free procedures. The Wage Protection System, the National Referral System, and the Victim Support Fund have been activated to enhance protection measures. Regular awareness campaigns are carried out, alongside continuous workplace inspections, routine monitoring of violations, and the adoption of protocols for identifying indicators of trafficking and recognizing victims and potential victims.</w:t>
      </w:r>
    </w:p>
    <w:p w14:paraId="0549180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These efforts have contributed to providing wide-ranging protection and support services for migrant workers. Data indicates the following:</w:t>
      </w:r>
    </w:p>
    <w:p w14:paraId="602AFC89"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t>110,062 migrant workers</w:t>
      </w:r>
      <w:r w:rsidRPr="00863B82">
        <w:rPr>
          <w:rFonts w:ascii="Sakkal Majalla" w:hAnsi="Sakkal Majalla" w:cs="Sakkal Majalla"/>
          <w:sz w:val="32"/>
          <w:szCs w:val="32"/>
        </w:rPr>
        <w:t xml:space="preserve"> have benefited from various support and protection services through the Migrant Workers Protection Center since 2018.</w:t>
      </w:r>
    </w:p>
    <w:p w14:paraId="6C26FE9D"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t>189,440 calls</w:t>
      </w:r>
      <w:r w:rsidRPr="00863B82">
        <w:rPr>
          <w:rFonts w:ascii="Sakkal Majalla" w:hAnsi="Sakkal Majalla" w:cs="Sakkal Majalla"/>
          <w:sz w:val="32"/>
          <w:szCs w:val="32"/>
        </w:rPr>
        <w:t xml:space="preserve"> have been received via the anti-trafficking hotline (955) since 2015.</w:t>
      </w:r>
    </w:p>
    <w:p w14:paraId="2F02CDFD"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t>7,316 grievances</w:t>
      </w:r>
      <w:r w:rsidRPr="00863B82">
        <w:rPr>
          <w:rFonts w:ascii="Sakkal Majalla" w:hAnsi="Sakkal Majalla" w:cs="Sakkal Majalla"/>
          <w:sz w:val="32"/>
          <w:szCs w:val="32"/>
        </w:rPr>
        <w:t xml:space="preserve"> related to “absconding” notifications and violations of work permit conditions have been processed.</w:t>
      </w:r>
    </w:p>
    <w:p w14:paraId="19A52D9E"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lastRenderedPageBreak/>
        <w:t>11,509 passports</w:t>
      </w:r>
      <w:r w:rsidRPr="00863B82">
        <w:rPr>
          <w:rFonts w:ascii="Sakkal Majalla" w:hAnsi="Sakkal Majalla" w:cs="Sakkal Majalla"/>
          <w:sz w:val="32"/>
          <w:szCs w:val="32"/>
        </w:rPr>
        <w:t xml:space="preserve"> have been retrieved for migrant workers through the Protection Center since 2018.</w:t>
      </w:r>
    </w:p>
    <w:p w14:paraId="70D3BD8B"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t>1,462 victims, potential victims, and persons at risk</w:t>
      </w:r>
      <w:r w:rsidRPr="00863B82">
        <w:rPr>
          <w:rFonts w:ascii="Sakkal Majalla" w:hAnsi="Sakkal Majalla" w:cs="Sakkal Majalla"/>
          <w:sz w:val="32"/>
          <w:szCs w:val="32"/>
        </w:rPr>
        <w:t xml:space="preserve"> have been provided with shelter, offered proactively as a preventative measure to ensure their safety.</w:t>
      </w:r>
    </w:p>
    <w:p w14:paraId="061B71B7" w14:textId="77777777" w:rsidR="002F2642" w:rsidRPr="00863B82" w:rsidRDefault="002F2642" w:rsidP="0085624E">
      <w:pPr>
        <w:numPr>
          <w:ilvl w:val="0"/>
          <w:numId w:val="7"/>
        </w:numPr>
        <w:bidi w:val="0"/>
        <w:jc w:val="lowKashida"/>
        <w:rPr>
          <w:rFonts w:ascii="Sakkal Majalla" w:hAnsi="Sakkal Majalla" w:cs="Sakkal Majalla"/>
          <w:sz w:val="32"/>
          <w:szCs w:val="32"/>
        </w:rPr>
      </w:pPr>
      <w:r w:rsidRPr="00863B82">
        <w:rPr>
          <w:rFonts w:ascii="Sakkal Majalla" w:hAnsi="Sakkal Majalla" w:cs="Sakkal Majalla"/>
          <w:b/>
          <w:bCs/>
          <w:sz w:val="32"/>
          <w:szCs w:val="32"/>
        </w:rPr>
        <w:t>5,779 labor lawsuits</w:t>
      </w:r>
      <w:r w:rsidRPr="00863B82">
        <w:rPr>
          <w:rFonts w:ascii="Sakkal Majalla" w:hAnsi="Sakkal Majalla" w:cs="Sakkal Majalla"/>
          <w:sz w:val="32"/>
          <w:szCs w:val="32"/>
        </w:rPr>
        <w:t xml:space="preserve"> have been filed for migrant workers free of charge through the Protection and Grievances Center since 2020.</w:t>
      </w:r>
    </w:p>
    <w:p w14:paraId="65E62277" w14:textId="77777777" w:rsidR="002F2642" w:rsidRPr="00863B82" w:rsidRDefault="002F2642"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Second: Prosecution</w:t>
      </w:r>
    </w:p>
    <w:p w14:paraId="48C516C8"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Kingdom has established a specialized department within the Ministry of Interior dedicated to combating human trafficking and protecting public morality. A specialized Prosecution Office has also been created to handle such cases, making Bahrain the first Arab country to establish such a prosecution body. Additionally, a specialized court has been designated to adjudicate trafficking in persons cases.</w:t>
      </w:r>
    </w:p>
    <w:p w14:paraId="4C07D18B" w14:textId="77777777" w:rsidR="002F2642" w:rsidRPr="00863B82" w:rsidRDefault="002F2642"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Third: Cooperation and Partnerships</w:t>
      </w:r>
    </w:p>
    <w:p w14:paraId="62FEA7F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Bahrain has strengthened coordination and collaboration with all relevant entities, including civil society organizations, diplomatic missions, and international organizations—particularly the International Organization for Migration (IOM) and the United Nations Office on Drugs and Crime (UNODC). Joint initiatives have been implemented to raise awareness of rights and obligations and facilitate access to prevention and support services for all parties to the employment relationship. These efforts reflect a firm belief in a whole-of-society approach to combating human trafficking, and in the value of national and international partnerships.</w:t>
      </w:r>
    </w:p>
    <w:p w14:paraId="5E7FCE0E"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It is worth noting that efforts continue to strengthen and update victim-identification protocols, the national referral system, specialized units, and related training programs. Bahrain reaffirms </w:t>
      </w:r>
      <w:r w:rsidRPr="00863B82">
        <w:rPr>
          <w:rFonts w:ascii="Sakkal Majalla" w:hAnsi="Sakkal Majalla" w:cs="Sakkal Majalla"/>
          <w:sz w:val="32"/>
          <w:szCs w:val="32"/>
        </w:rPr>
        <w:lastRenderedPageBreak/>
        <w:t>its commitment to sharing expertise with other countries and learning from international experiences, aware that human trafficking is a transnational and continually evolving crime.</w:t>
      </w:r>
    </w:p>
    <w:p w14:paraId="6810E8EB"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As a result of these ongoing efforts, Bahrain has achieved notable progress in international indicators, including maintaining its </w:t>
      </w:r>
      <w:r w:rsidRPr="00863B82">
        <w:rPr>
          <w:rFonts w:ascii="Sakkal Majalla" w:hAnsi="Sakkal Majalla" w:cs="Sakkal Majalla"/>
          <w:b/>
          <w:bCs/>
          <w:sz w:val="32"/>
          <w:szCs w:val="32"/>
        </w:rPr>
        <w:t>Tier 1 ranking for the eighth consecutive year</w:t>
      </w:r>
      <w:r w:rsidRPr="00863B82">
        <w:rPr>
          <w:rFonts w:ascii="Sakkal Majalla" w:hAnsi="Sakkal Majalla" w:cs="Sakkal Majalla"/>
          <w:sz w:val="32"/>
          <w:szCs w:val="32"/>
        </w:rPr>
        <w:t xml:space="preserve"> in the U.S. Department of State’s Trafficking in Persons Report, which assesses global anti-trafficking efforts.</w:t>
      </w:r>
    </w:p>
    <w:p w14:paraId="6BC4668C"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Regarding the issue of detaining or retaining a worker’s passport, procedures have been implemented to address this practice. The Labor Market Regulatory Authority’s Protection and Grievances Center allows workers to request intervention to retrieve passports withheld by employers. If it is confirmed that the employer is in possession of the passport and refuses to return it, administrative measures are taken to restrict the employer’s access to LMRA services, and the case is referred to the competent security authority to treat it as a criminal breach of trust if its elements are established. This practice is also considered an indicator of exploitation and trafficking in the workplace. It is noted that a draft amendment to the Labor Law proposing an explicit provision criminalizing an employer’s retention of a worker’s passport is currently under review by the legislative authority.</w:t>
      </w:r>
    </w:p>
    <w:p w14:paraId="689EE74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As for protecting potential victims from employer retaliation upon reporting violations, an office has been </w:t>
      </w:r>
      <w:proofErr w:type="gramStart"/>
      <w:r w:rsidRPr="00863B82">
        <w:rPr>
          <w:rFonts w:ascii="Sakkal Majalla" w:hAnsi="Sakkal Majalla" w:cs="Sakkal Majalla"/>
          <w:sz w:val="32"/>
          <w:szCs w:val="32"/>
        </w:rPr>
        <w:t>established—in</w:t>
      </w:r>
      <w:proofErr w:type="gramEnd"/>
      <w:r w:rsidRPr="00863B82">
        <w:rPr>
          <w:rFonts w:ascii="Sakkal Majalla" w:hAnsi="Sakkal Majalla" w:cs="Sakkal Majalla"/>
          <w:sz w:val="32"/>
          <w:szCs w:val="32"/>
        </w:rPr>
        <w:t xml:space="preserve"> coordination with the Public Prosecution—to protect victims and witnesses in trafficking cases. This office receives requests for security protection and takes necessary measures to prevent any danger posed by any person </w:t>
      </w:r>
      <w:proofErr w:type="gramStart"/>
      <w:r w:rsidRPr="00863B82">
        <w:rPr>
          <w:rFonts w:ascii="Sakkal Majalla" w:hAnsi="Sakkal Majalla" w:cs="Sakkal Majalla"/>
          <w:sz w:val="32"/>
          <w:szCs w:val="32"/>
        </w:rPr>
        <w:t>as a result of</w:t>
      </w:r>
      <w:proofErr w:type="gramEnd"/>
      <w:r w:rsidRPr="00863B82">
        <w:rPr>
          <w:rFonts w:ascii="Sakkal Majalla" w:hAnsi="Sakkal Majalla" w:cs="Sakkal Majalla"/>
          <w:sz w:val="32"/>
          <w:szCs w:val="32"/>
        </w:rPr>
        <w:t xml:space="preserve"> reporting the crime or refusing to withdraw complaints. Additionally, shelter is provided for victims and potential victims until a release order is issued by the Public Prosecution or until the victim requests to leave, with continued follow-up.</w:t>
      </w:r>
    </w:p>
    <w:p w14:paraId="331B16D0" w14:textId="77777777"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lastRenderedPageBreak/>
        <w:t xml:space="preserve">These successive legislative and procedural reforms, along with ongoing cooperation with international organizations and UN agencies, affirm the Kingdom of Bahrain’s commitment to safeguarding the rights of migrant workers and ensuring their protection as an integral part of the country’s social fabric, and in fulfillment of its obligations under the international conventions and protocols to which it is a </w:t>
      </w:r>
      <w:proofErr w:type="gramStart"/>
      <w:r w:rsidRPr="00863B82">
        <w:rPr>
          <w:rFonts w:ascii="Sakkal Majalla" w:hAnsi="Sakkal Majalla" w:cs="Sakkal Majalla"/>
          <w:sz w:val="32"/>
          <w:szCs w:val="32"/>
        </w:rPr>
        <w:t>party.</w:t>
      </w:r>
      <w:r w:rsidRPr="00863B82">
        <w:rPr>
          <w:rFonts w:ascii="Sakkal Majalla" w:hAnsi="Sakkal Majalla" w:cs="Sakkal Majalla"/>
          <w:sz w:val="32"/>
          <w:szCs w:val="32"/>
          <w:rtl/>
        </w:rPr>
        <w:t>.</w:t>
      </w:r>
      <w:proofErr w:type="gramEnd"/>
    </w:p>
    <w:p w14:paraId="3146EDC0" w14:textId="61037B7C"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16</w:t>
      </w:r>
      <w:r w:rsidRPr="00863B82">
        <w:rPr>
          <w:rFonts w:ascii="Sakkal Majalla" w:hAnsi="Sakkal Majalla" w:cs="Sakkal Majalla"/>
          <w:b/>
          <w:bCs/>
          <w:sz w:val="32"/>
          <w:szCs w:val="32"/>
        </w:rPr>
        <w:t xml:space="preserve">: Deportation and </w:t>
      </w:r>
      <w:proofErr w:type="gramStart"/>
      <w:r w:rsidRPr="00863B82">
        <w:rPr>
          <w:rFonts w:ascii="Sakkal Majalla" w:hAnsi="Sakkal Majalla" w:cs="Sakkal Majalla"/>
          <w:b/>
          <w:bCs/>
          <w:sz w:val="32"/>
          <w:szCs w:val="32"/>
        </w:rPr>
        <w:t>Non-Refoulement</w:t>
      </w:r>
      <w:proofErr w:type="gramEnd"/>
    </w:p>
    <w:p w14:paraId="091B9D78"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National Action Charter states, under Section Two concerning the guarantee of personal </w:t>
      </w:r>
      <w:proofErr w:type="gramStart"/>
      <w:r w:rsidRPr="00863B82">
        <w:rPr>
          <w:rFonts w:ascii="Sakkal Majalla" w:hAnsi="Sakkal Majalla" w:cs="Sakkal Majalla"/>
          <w:sz w:val="32"/>
          <w:szCs w:val="32"/>
        </w:rPr>
        <w:t>freedoms</w:t>
      </w:r>
      <w:proofErr w:type="gramEnd"/>
      <w:r w:rsidRPr="00863B82">
        <w:rPr>
          <w:rFonts w:ascii="Sakkal Majalla" w:hAnsi="Sakkal Majalla" w:cs="Sakkal Majalla"/>
          <w:sz w:val="32"/>
          <w:szCs w:val="32"/>
        </w:rPr>
        <w:t xml:space="preserve"> and equality, that:</w:t>
      </w:r>
    </w:p>
    <w:p w14:paraId="0374B959"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“2 – Personal freedom is guaranteed in accordance with the law. No person may be arrested, detained, imprisoned, searched, have their residence restricted, or</w:t>
      </w:r>
      <w:r w:rsidRPr="00863B82">
        <w:rPr>
          <w:rFonts w:ascii="Sakkal Majalla" w:hAnsi="Sakkal Majalla" w:cs="Sakkal Majalla"/>
          <w:b/>
          <w:bCs/>
          <w:sz w:val="32"/>
          <w:szCs w:val="32"/>
        </w:rPr>
        <w:t xml:space="preserve"> </w:t>
      </w:r>
      <w:r w:rsidRPr="00863B82">
        <w:rPr>
          <w:rFonts w:ascii="Sakkal Majalla" w:hAnsi="Sakkal Majalla" w:cs="Sakkal Majalla"/>
          <w:sz w:val="32"/>
          <w:szCs w:val="32"/>
        </w:rPr>
        <w:t>have their freedom of residence or movement limited except in accordance with the law and under judicial oversight.”</w:t>
      </w:r>
    </w:p>
    <w:p w14:paraId="2FF73A0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Constitution also provides, in Article (19), that:</w:t>
      </w:r>
      <w:r w:rsidRPr="00863B82">
        <w:rPr>
          <w:rFonts w:ascii="Sakkal Majalla" w:hAnsi="Sakkal Majalla" w:cs="Sakkal Majalla"/>
          <w:sz w:val="32"/>
          <w:szCs w:val="32"/>
        </w:rPr>
        <w:br/>
        <w:t>(a) Personal freedom is guaranteed in accordance with the law.</w:t>
      </w:r>
      <w:r w:rsidRPr="00863B82">
        <w:rPr>
          <w:rFonts w:ascii="Sakkal Majalla" w:hAnsi="Sakkal Majalla" w:cs="Sakkal Majalla"/>
          <w:sz w:val="32"/>
          <w:szCs w:val="32"/>
        </w:rPr>
        <w:br/>
        <w:t>(b) No person shall be arrested, detained, imprisoned, searched, have their residence restricted, or have their freedom of residence or movement limited except in accordance with the provisions of the law and under judicial oversight.</w:t>
      </w:r>
    </w:p>
    <w:p w14:paraId="3A796526"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Additionally, Article (17)(b) states:</w:t>
      </w:r>
    </w:p>
    <w:p w14:paraId="5E2A3766"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“It is prohibited to deport a citizen from Bahrain or prevent them from returning to it.”</w:t>
      </w:r>
    </w:p>
    <w:p w14:paraId="149C20AB"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And Article (21) states:</w:t>
      </w:r>
    </w:p>
    <w:p w14:paraId="449E071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extradition of political refugees is prohibited.”</w:t>
      </w:r>
    </w:p>
    <w:p w14:paraId="7D8264A0"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 xml:space="preserve">Part Two of the Code of Criminal Procedure sets out in detail the provisions related to the extradition of accused and convicted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and judicial delegation. It stipulates that, without prejudice to the provisions of treaties and international conventions that have the force of law in the Kingdom of Bahrain, the extradition of persons convicted or accused shall be carried out to the requesting foreign state for the purpose of enforcing the foreign judgments issued against them or for their criminal prosecution, in accordance with the following provisions and with the rules of general international law in matters not specifically addressed.</w:t>
      </w:r>
    </w:p>
    <w:p w14:paraId="0E5B509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It is required for extradition that the crime was committed within the territory of the </w:t>
      </w:r>
      <w:proofErr w:type="gramStart"/>
      <w:r w:rsidRPr="00863B82">
        <w:rPr>
          <w:rFonts w:ascii="Sakkal Majalla" w:hAnsi="Sakkal Majalla" w:cs="Sakkal Majalla"/>
          <w:sz w:val="32"/>
          <w:szCs w:val="32"/>
        </w:rPr>
        <w:t>requesting</w:t>
      </w:r>
      <w:proofErr w:type="gramEnd"/>
      <w:r w:rsidRPr="00863B82">
        <w:rPr>
          <w:rFonts w:ascii="Sakkal Majalla" w:hAnsi="Sakkal Majalla" w:cs="Sakkal Majalla"/>
          <w:sz w:val="32"/>
          <w:szCs w:val="32"/>
        </w:rPr>
        <w:t xml:space="preserve"> </w:t>
      </w:r>
      <w:proofErr w:type="gramStart"/>
      <w:r w:rsidRPr="00863B82">
        <w:rPr>
          <w:rFonts w:ascii="Sakkal Majalla" w:hAnsi="Sakkal Majalla" w:cs="Sakkal Majalla"/>
          <w:sz w:val="32"/>
          <w:szCs w:val="32"/>
        </w:rPr>
        <w:t>state, or</w:t>
      </w:r>
      <w:proofErr w:type="gramEnd"/>
      <w:r w:rsidRPr="00863B82">
        <w:rPr>
          <w:rFonts w:ascii="Sakkal Majalla" w:hAnsi="Sakkal Majalla" w:cs="Sakkal Majalla"/>
          <w:sz w:val="32"/>
          <w:szCs w:val="32"/>
        </w:rPr>
        <w:t xml:space="preserve"> committed outside its territory but is punishable under its laws. The crime must be a felony or a misdemeanor punishable under both the laws of the Kingdom of Bahrain and the requesting state by imprisonment for at least one year, or the person sought must have been sentenced for that crime to imprisonment for at least six months.</w:t>
      </w:r>
    </w:p>
    <w:p w14:paraId="602EFA62"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If the person whose extradition is requested is under investigation or trial for another crime in the Kingdom of Bahrain, their extradition shall be postponed until the conclusion of their trial and the execution of the imposed sentence.</w:t>
      </w:r>
    </w:p>
    <w:p w14:paraId="0548596C"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High Criminal Court is the competent authority to review extradition requests and to verify their conditions and procedures. It may issue orders to search any locations it deems necessary. The High Criminal Court shall issue a reasoned decision regarding the extradition request and notify the Minister of Justice to take the necessary action.</w:t>
      </w:r>
    </w:p>
    <w:p w14:paraId="439B3337"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Furthermore, Law No. (7) of 2006 was issued approving the ratification of the Arab Charter on Human Rights, which provides in Article 26:</w:t>
      </w:r>
      <w:r w:rsidRPr="00863B82">
        <w:rPr>
          <w:rFonts w:ascii="Sakkal Majalla" w:hAnsi="Sakkal Majalla" w:cs="Sakkal Majalla"/>
          <w:sz w:val="32"/>
          <w:szCs w:val="32"/>
        </w:rPr>
        <w:br/>
        <w:t xml:space="preserve">(1) Every person lawfully present in the territory of a State Party shall have the right to freedom </w:t>
      </w:r>
      <w:r w:rsidRPr="00863B82">
        <w:rPr>
          <w:rFonts w:ascii="Sakkal Majalla" w:hAnsi="Sakkal Majalla" w:cs="Sakkal Majalla"/>
          <w:sz w:val="32"/>
          <w:szCs w:val="32"/>
        </w:rPr>
        <w:lastRenderedPageBreak/>
        <w:t>of movement and to freely choose their place of residence within the limits of the applicable legislation.</w:t>
      </w:r>
    </w:p>
    <w:p w14:paraId="34089A8D" w14:textId="77777777" w:rsidR="002F2642" w:rsidRPr="00863B82" w:rsidRDefault="002F2642" w:rsidP="0085624E">
      <w:pPr>
        <w:bidi w:val="0"/>
        <w:jc w:val="lowKashida"/>
        <w:rPr>
          <w:rFonts w:ascii="Sakkal Majalla" w:hAnsi="Sakkal Majalla" w:cs="Sakkal Majalla"/>
          <w:sz w:val="32"/>
          <w:szCs w:val="32"/>
        </w:rPr>
      </w:pPr>
      <w:proofErr w:type="gramStart"/>
      <w:r w:rsidRPr="00863B82">
        <w:rPr>
          <w:rFonts w:ascii="Sakkal Majalla" w:hAnsi="Sakkal Majalla" w:cs="Sakkal Majalla"/>
          <w:sz w:val="32"/>
          <w:szCs w:val="32"/>
        </w:rPr>
        <w:t>It</w:t>
      </w:r>
      <w:proofErr w:type="gramEnd"/>
      <w:r w:rsidRPr="00863B82">
        <w:rPr>
          <w:rFonts w:ascii="Sakkal Majalla" w:hAnsi="Sakkal Majalla" w:cs="Sakkal Majalla"/>
          <w:sz w:val="32"/>
          <w:szCs w:val="32"/>
        </w:rPr>
        <w:t xml:space="preserve"> further states in Article 28:</w:t>
      </w:r>
    </w:p>
    <w:p w14:paraId="491DD755"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Every person has the right to seek political asylum in another country to escape persecution. This right shall not apply to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prosecuted for non-political crimes. Political refugees may not be extradited.</w:t>
      </w:r>
    </w:p>
    <w:p w14:paraId="18DAB5FE"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Additionally, Law No. (16) of 2005 was issued approving accession to the International Convention Against the Taking of Hostages, and Decree-Law No. (41) of 1999 approved the Riyadh Arab Convention for Judicial Cooperation (1983).</w:t>
      </w:r>
    </w:p>
    <w:p w14:paraId="19848A26" w14:textId="0A1071FF"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17</w:t>
      </w:r>
      <w:r w:rsidRPr="00863B82">
        <w:rPr>
          <w:rFonts w:ascii="Sakkal Majalla" w:hAnsi="Sakkal Majalla" w:cs="Sakkal Majalla"/>
          <w:b/>
          <w:bCs/>
          <w:sz w:val="32"/>
          <w:szCs w:val="32"/>
        </w:rPr>
        <w:t>: Migration and Asylum</w:t>
      </w:r>
    </w:p>
    <w:p w14:paraId="0CB4821D"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of Interior affirms that the Kingdom of Bahrain addresses issues of migration and asylum in accordance with national legislation and relevant international obligations, in a manner that balances humanitarian considerations with the requirements of national security.</w:t>
      </w:r>
    </w:p>
    <w:p w14:paraId="03F04FC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also handles exceptional humanitarian cases with flexibility and compassion, while upholding the principle of non-refoulement as stipulated in the Convention against Torture.</w:t>
      </w:r>
    </w:p>
    <w:p w14:paraId="353061F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is committed to providing protection and temporary care for individuals who may face real risks if returned to their home countries, in coordination with the competent government authorities, ensuring that no person is exposed to the risk of torture or ill-treatment.</w:t>
      </w:r>
    </w:p>
    <w:p w14:paraId="1C2A8205"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regulates these matters through the Nationality, Passports, and Residence Affairs (NPRA), in a way that upholds legal requirements and preserves public security and order, while at the same time ensuring humane treatment that respects the dignity and fundamental rights of all residents in the Kingdom of Bahrain without discrimination.</w:t>
      </w:r>
    </w:p>
    <w:p w14:paraId="25CAAC05"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It is worth noting that there are no refugees or migrants residing in the Kingdom of Bahrain, and that the entry and departure of foreigners is governed by the 1965 Foreigners Law and its amendments, which stipulates that any foreigner entering Bahrain through its ports must hold a valid visa issued in accordance with the law.</w:t>
      </w:r>
    </w:p>
    <w:p w14:paraId="6F3F436F" w14:textId="62504612" w:rsidR="00870F8B" w:rsidRPr="00863B82" w:rsidRDefault="002F2642" w:rsidP="00863B82">
      <w:pPr>
        <w:bidi w:val="0"/>
        <w:jc w:val="lowKashida"/>
        <w:rPr>
          <w:rFonts w:ascii="Sakkal Majalla" w:hAnsi="Sakkal Majalla" w:cs="Sakkal Majalla"/>
          <w:sz w:val="32"/>
          <w:szCs w:val="32"/>
          <w:rtl/>
        </w:rPr>
      </w:pPr>
      <w:r w:rsidRPr="00863B82">
        <w:rPr>
          <w:rFonts w:ascii="Sakkal Majalla" w:hAnsi="Sakkal Majalla" w:cs="Sakkal Majalla"/>
          <w:sz w:val="32"/>
          <w:szCs w:val="32"/>
        </w:rPr>
        <w:t xml:space="preserve">Additionally, the Minister of Foreign Affairs signed a Memorandum of Understanding between the Government of the Kingdom of Bahrain and the UN High Commissioner for Refugees (UNHCR) regarding the exchange of information on refugees and asylum seekers, aimed at </w:t>
      </w:r>
      <w:proofErr w:type="gramStart"/>
      <w:r w:rsidRPr="00863B82">
        <w:rPr>
          <w:rFonts w:ascii="Sakkal Majalla" w:hAnsi="Sakkal Majalla" w:cs="Sakkal Majalla"/>
          <w:sz w:val="32"/>
          <w:szCs w:val="32"/>
        </w:rPr>
        <w:t>providing assistance</w:t>
      </w:r>
      <w:proofErr w:type="gramEnd"/>
      <w:r w:rsidRPr="00863B82">
        <w:rPr>
          <w:rFonts w:ascii="Sakkal Majalla" w:hAnsi="Sakkal Majalla" w:cs="Sakkal Majalla"/>
          <w:sz w:val="32"/>
          <w:szCs w:val="32"/>
        </w:rPr>
        <w:t xml:space="preserve"> and support to refugees in the Middle East region</w:t>
      </w:r>
      <w:r w:rsidRPr="00863B82">
        <w:rPr>
          <w:rFonts w:ascii="Sakkal Majalla" w:hAnsi="Sakkal Majalla" w:cs="Sakkal Majalla"/>
          <w:sz w:val="32"/>
          <w:szCs w:val="32"/>
          <w:rtl/>
        </w:rPr>
        <w:t>.</w:t>
      </w:r>
    </w:p>
    <w:p w14:paraId="132EF39F" w14:textId="05D10221"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18</w:t>
      </w:r>
      <w:r w:rsidRPr="00863B82">
        <w:rPr>
          <w:rFonts w:ascii="Sakkal Majalla" w:hAnsi="Sakkal Majalla" w:cs="Sakkal Majalla"/>
          <w:b/>
          <w:bCs/>
          <w:sz w:val="32"/>
          <w:szCs w:val="32"/>
        </w:rPr>
        <w:t>: Mechanism of Withdrawal and Revocation of Citizenship</w:t>
      </w:r>
    </w:p>
    <w:p w14:paraId="6CB6A8A7" w14:textId="64AB313F"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 xml:space="preserve">The Ministry of Interior affirms that the revocation and withdrawal of nationality in the Kingdom of Bahrain are carried out in accordance with the provisions of the Bahraini Nationality </w:t>
      </w:r>
      <w:proofErr w:type="gramStart"/>
      <w:r w:rsidRPr="00863B82">
        <w:rPr>
          <w:rFonts w:ascii="Sakkal Majalla" w:hAnsi="Sakkal Majalla" w:cs="Sakkal Majalla"/>
          <w:sz w:val="32"/>
          <w:szCs w:val="32"/>
        </w:rPr>
        <w:t>Law of 1963, and</w:t>
      </w:r>
      <w:proofErr w:type="gramEnd"/>
      <w:r w:rsidRPr="00863B82">
        <w:rPr>
          <w:rFonts w:ascii="Sakkal Majalla" w:hAnsi="Sakkal Majalla" w:cs="Sakkal Majalla"/>
          <w:sz w:val="32"/>
          <w:szCs w:val="32"/>
        </w:rPr>
        <w:t xml:space="preserve"> based on clear legal procedures that ensure respect for individuals’ rights. These procedures </w:t>
      </w:r>
      <w:proofErr w:type="gramStart"/>
      <w:r w:rsidRPr="00863B82">
        <w:rPr>
          <w:rFonts w:ascii="Sakkal Majalla" w:hAnsi="Sakkal Majalla" w:cs="Sakkal Majalla"/>
          <w:sz w:val="32"/>
          <w:szCs w:val="32"/>
        </w:rPr>
        <w:t>take into account</w:t>
      </w:r>
      <w:proofErr w:type="gramEnd"/>
      <w:r w:rsidRPr="00863B82">
        <w:rPr>
          <w:rFonts w:ascii="Sakkal Majalla" w:hAnsi="Sakkal Majalla" w:cs="Sakkal Majalla"/>
          <w:sz w:val="32"/>
          <w:szCs w:val="32"/>
        </w:rPr>
        <w:t xml:space="preserve"> national security requirements and the public interest, and the Ministry is committed to applying them within the framework of the rule of law and in alignment with constitutional standards and international conventions that guarantee the right to nationality and prohibit arbitrary deprivation of it</w:t>
      </w:r>
      <w:r w:rsidRPr="00863B82">
        <w:rPr>
          <w:rFonts w:ascii="Sakkal Majalla" w:hAnsi="Sakkal Majalla" w:cs="Sakkal Majalla"/>
          <w:sz w:val="32"/>
          <w:szCs w:val="32"/>
          <w:rtl/>
        </w:rPr>
        <w:t>.</w:t>
      </w:r>
    </w:p>
    <w:p w14:paraId="36710608"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Constitution of the Kingdom of Bahrain states in Article (17) that</w:t>
      </w:r>
      <w:r w:rsidRPr="00863B82">
        <w:rPr>
          <w:rFonts w:ascii="Sakkal Majalla" w:hAnsi="Sakkal Majalla" w:cs="Sakkal Majalla"/>
          <w:sz w:val="32"/>
          <w:szCs w:val="32"/>
          <w:rtl/>
        </w:rPr>
        <w:t>:</w:t>
      </w:r>
    </w:p>
    <w:p w14:paraId="29012205" w14:textId="77777777"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tl/>
        </w:rPr>
        <w:t>“</w:t>
      </w:r>
      <w:r w:rsidRPr="00863B82">
        <w:rPr>
          <w:rFonts w:ascii="Sakkal Majalla" w:hAnsi="Sakkal Majalla" w:cs="Sakkal Majalla"/>
          <w:sz w:val="32"/>
          <w:szCs w:val="32"/>
        </w:rPr>
        <w:t>Bahraini nationality shall be defined by law. It may not be revoked from a person who holds it except in cases of high treason or other cases specified by law</w:t>
      </w:r>
      <w:r w:rsidRPr="00863B82">
        <w:rPr>
          <w:rFonts w:ascii="Sakkal Majalla" w:hAnsi="Sakkal Majalla" w:cs="Sakkal Majalla"/>
          <w:sz w:val="32"/>
          <w:szCs w:val="32"/>
          <w:rtl/>
        </w:rPr>
        <w:t>.”</w:t>
      </w:r>
    </w:p>
    <w:p w14:paraId="2B82EDBD" w14:textId="77777777" w:rsidR="002F2642" w:rsidRPr="00863B82" w:rsidRDefault="002F2642" w:rsidP="0085624E">
      <w:pPr>
        <w:bidi w:val="0"/>
        <w:jc w:val="lowKashida"/>
        <w:rPr>
          <w:rFonts w:ascii="Sakkal Majalla" w:hAnsi="Sakkal Majalla" w:cs="Sakkal Majalla"/>
          <w:sz w:val="32"/>
          <w:szCs w:val="32"/>
          <w:rtl/>
        </w:rPr>
      </w:pP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revocation or withdrawal of nationality, such measures are taken only when the cases specified explicitly in the Nationality Law are fulfilled. The law was amended by Law No. (16) of 2019, which abolished Article 24 bis of the Law on Protecting Society from Terrorist </w:t>
      </w:r>
      <w:r w:rsidRPr="00863B82">
        <w:rPr>
          <w:rFonts w:ascii="Sakkal Majalla" w:hAnsi="Sakkal Majalla" w:cs="Sakkal Majalla"/>
          <w:sz w:val="32"/>
          <w:szCs w:val="32"/>
        </w:rPr>
        <w:lastRenderedPageBreak/>
        <w:t>Acts—a provision that previously mandated revocation of nationality upon conviction for certain terrorist crimes. The cases in which nationality may be revoked or withdrawn are strictly limited and may not be expanded; they remain subject to oversight</w:t>
      </w:r>
      <w:r w:rsidRPr="00863B82">
        <w:rPr>
          <w:rFonts w:ascii="Sakkal Majalla" w:hAnsi="Sakkal Majalla" w:cs="Sakkal Majalla"/>
          <w:sz w:val="32"/>
          <w:szCs w:val="32"/>
          <w:rtl/>
        </w:rPr>
        <w:t>.</w:t>
      </w:r>
    </w:p>
    <w:p w14:paraId="58E72FEB" w14:textId="77777777"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The law stipulates that the Council of Ministers may, by a reasoned decision and based on a submission by the Minister of Interior, revoke Bahraini nationality from any person who: joins the military service of a foreign state</w:t>
      </w:r>
      <w:r w:rsidRPr="00863B82">
        <w:rPr>
          <w:rFonts w:ascii="Sakkal Majalla" w:hAnsi="Sakkal Majalla" w:cs="Sakkal Majalla"/>
          <w:sz w:val="32"/>
          <w:szCs w:val="32"/>
          <w:rtl/>
        </w:rPr>
        <w:t>;</w:t>
      </w:r>
      <w:r w:rsidRPr="00863B82">
        <w:rPr>
          <w:rFonts w:ascii="Sakkal Majalla" w:hAnsi="Sakkal Majalla" w:cs="Sakkal Majalla"/>
          <w:sz w:val="32"/>
          <w:szCs w:val="32"/>
        </w:rPr>
        <w:t xml:space="preserve"> assists or becomes involved in the service of a hostile state</w:t>
      </w:r>
      <w:r w:rsidRPr="00863B82">
        <w:rPr>
          <w:rFonts w:ascii="Sakkal Majalla" w:hAnsi="Sakkal Majalla" w:cs="Sakkal Majalla"/>
          <w:sz w:val="32"/>
          <w:szCs w:val="32"/>
          <w:rtl/>
        </w:rPr>
        <w:t>;</w:t>
      </w:r>
      <w:r w:rsidRPr="00863B82">
        <w:rPr>
          <w:rFonts w:ascii="Sakkal Majalla" w:hAnsi="Sakkal Majalla" w:cs="Sakkal Majalla"/>
          <w:sz w:val="32"/>
          <w:szCs w:val="32"/>
        </w:rPr>
        <w:t xml:space="preserve"> causes harm to the interests of the Kingdom or acts in a manner contrary to the duty of loyalty to it</w:t>
      </w:r>
      <w:r w:rsidRPr="00863B82">
        <w:rPr>
          <w:rFonts w:ascii="Sakkal Majalla" w:hAnsi="Sakkal Majalla" w:cs="Sakkal Majalla"/>
          <w:sz w:val="32"/>
          <w:szCs w:val="32"/>
          <w:rtl/>
        </w:rPr>
        <w:t>.</w:t>
      </w:r>
    </w:p>
    <w:p w14:paraId="2D027DDD" w14:textId="6CD51DD8"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 xml:space="preserve">It is worth noting that Bahrain’s national legislation is consistent with all international covenants and obligations, as well as the laws of other states, </w:t>
      </w:r>
      <w:proofErr w:type="gramStart"/>
      <w:r w:rsidRPr="00863B82">
        <w:rPr>
          <w:rFonts w:ascii="Sakkal Majalla" w:hAnsi="Sakkal Majalla" w:cs="Sakkal Majalla"/>
          <w:sz w:val="32"/>
          <w:szCs w:val="32"/>
        </w:rPr>
        <w:t>in regard to</w:t>
      </w:r>
      <w:proofErr w:type="gramEnd"/>
      <w:r w:rsidRPr="00863B82">
        <w:rPr>
          <w:rFonts w:ascii="Sakkal Majalla" w:hAnsi="Sakkal Majalla" w:cs="Sakkal Majalla"/>
          <w:sz w:val="32"/>
          <w:szCs w:val="32"/>
        </w:rPr>
        <w:t xml:space="preserve"> the limited circumstances in which nationality may be revoked—such as joining the military service of hostile foreign states or using explosive weapons for terrorist purposes</w:t>
      </w:r>
      <w:r w:rsidRPr="00863B82">
        <w:rPr>
          <w:rFonts w:ascii="Sakkal Majalla" w:hAnsi="Sakkal Majalla" w:cs="Sakkal Majalla"/>
          <w:sz w:val="32"/>
          <w:szCs w:val="32"/>
          <w:rtl/>
        </w:rPr>
        <w:t>.</w:t>
      </w:r>
    </w:p>
    <w:p w14:paraId="53A35CB4" w14:textId="77777777" w:rsidR="002F2642" w:rsidRPr="00863B82" w:rsidRDefault="002F2642"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A royal directive was also issued by His Majesty the King to restore the nationality of more than 550 individuals who had previously received court judgments revoking their nationality, in accordance with Article (24 bis) of Law No. 58 of 2006 on Protecting Society from Terrorist Acts. This directive was issued in continuation of the legal requirement that such judgments do not take effect without the approval of the King</w:t>
      </w:r>
      <w:r w:rsidRPr="00863B82">
        <w:rPr>
          <w:rFonts w:ascii="Sakkal Majalla" w:hAnsi="Sakkal Majalla" w:cs="Sakkal Majalla"/>
          <w:sz w:val="32"/>
          <w:szCs w:val="32"/>
          <w:rtl/>
        </w:rPr>
        <w:t>.</w:t>
      </w:r>
    </w:p>
    <w:p w14:paraId="3D2841ED" w14:textId="3E4B6396"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19</w:t>
      </w:r>
      <w:r w:rsidRPr="00863B82">
        <w:rPr>
          <w:rFonts w:ascii="Sakkal Majalla" w:hAnsi="Sakkal Majalla" w:cs="Sakkal Majalla"/>
          <w:b/>
          <w:bCs/>
          <w:sz w:val="32"/>
          <w:szCs w:val="32"/>
        </w:rPr>
        <w:t>: Protection from Arbitrary Detention</w:t>
      </w:r>
    </w:p>
    <w:p w14:paraId="4C76077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Kingdom of Bahrain reaffirms its full commitment to preventing any cases of arbitrary detention and ensuring that all instances of deprivation of liberty occur strictly in accordance with the law and under the direction of the competent judicial authorities. The Ministry of Interior is keen to apply the legal procedures stipulated in the Code of Criminal Procedure, guaranteeing </w:t>
      </w:r>
      <w:r w:rsidRPr="00863B82">
        <w:rPr>
          <w:rFonts w:ascii="Sakkal Majalla" w:hAnsi="Sakkal Majalla" w:cs="Sakkal Majalla"/>
          <w:sz w:val="32"/>
          <w:szCs w:val="32"/>
        </w:rPr>
        <w:lastRenderedPageBreak/>
        <w:t xml:space="preserve">detainees and accused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their legal and human rights, such as informing them of the reasons for their detention and enabling them to contact their families and lawyers.</w:t>
      </w:r>
    </w:p>
    <w:p w14:paraId="6708A543"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also works to promote a culture of respect for the rule of law among its personnel, and detention centers are subject to regular oversight by the competent authorities to ensure that no arbitrary practices occur. The Ministry strives to uphold the principles of justice and transparency throughout all stages of investigation and detention.</w:t>
      </w:r>
    </w:p>
    <w:p w14:paraId="51B8D70D"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We reiterate that all detention decisions are made in accordance with the Code of Criminal Procedure No. (46) of 2002, which grants individuals the right to challenge and </w:t>
      </w:r>
      <w:proofErr w:type="gramStart"/>
      <w:r w:rsidRPr="00863B82">
        <w:rPr>
          <w:rFonts w:ascii="Sakkal Majalla" w:hAnsi="Sakkal Majalla" w:cs="Sakkal Majalla"/>
          <w:sz w:val="32"/>
          <w:szCs w:val="32"/>
        </w:rPr>
        <w:t>appeal</w:t>
      </w:r>
      <w:proofErr w:type="gramEnd"/>
      <w:r w:rsidRPr="00863B82">
        <w:rPr>
          <w:rFonts w:ascii="Sakkal Majalla" w:hAnsi="Sakkal Majalla" w:cs="Sakkal Majalla"/>
          <w:sz w:val="32"/>
          <w:szCs w:val="32"/>
        </w:rPr>
        <w:t xml:space="preserve"> such orders before the courts. Any violation—of any kind—is punishable under the law, even if committed by law enforcement personnel. The Kingdom of Bahrain places great importance on protecting the rights and freedoms of individuals, and Ministry personnel are held accountable for any misconduct under the Penal Code issued by Decree-Law No. (15) of </w:t>
      </w:r>
      <w:proofErr w:type="gramStart"/>
      <w:r w:rsidRPr="00863B82">
        <w:rPr>
          <w:rFonts w:ascii="Sakkal Majalla" w:hAnsi="Sakkal Majalla" w:cs="Sakkal Majalla"/>
          <w:sz w:val="32"/>
          <w:szCs w:val="32"/>
        </w:rPr>
        <w:t>1976, and</w:t>
      </w:r>
      <w:proofErr w:type="gramEnd"/>
      <w:r w:rsidRPr="00863B82">
        <w:rPr>
          <w:rFonts w:ascii="Sakkal Majalla" w:hAnsi="Sakkal Majalla" w:cs="Sakkal Majalla"/>
          <w:sz w:val="32"/>
          <w:szCs w:val="32"/>
        </w:rPr>
        <w:t xml:space="preserve"> are subject to disciplinary measures in accordance with the Public Security Forces Law issued by Decree No. (3) of 1982.</w:t>
      </w:r>
    </w:p>
    <w:p w14:paraId="3B1EF426"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 procedural guide has been prepared for detention and pretrial custody in accordance with national laws and systems as well as international standards. The guide aligns with the Ministry of Interior’s principles and aims to establish unified procedures for detention and pretrial custody across all Ministry-affiliated bodies. There are also special standards for detention procedures: when a detention order is issued, the accused is transferred for medical examination to receive necessary medication, is informed of their rights through a rights form which they must sign, their personal items are inventoried and stored securely, and they are allowed to contact their family, lawyer, and embassy (if a foreign national) to notify them of the detention.</w:t>
      </w:r>
    </w:p>
    <w:p w14:paraId="2D893B42"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There are independent mechanisms responsible for providing remedies, advice, and assistance, including: The Ombudsman’s Office (General Secretariat for Grievances), The Special Investigation Unit, The National Institution for Human Rights, The Prisoners and Detainees Rights Commission, The Committee for Assessing the Status of Foreign Victims of Human Trafficking, The Internal Audit and Investigation Directorate, responsible for receiving and investigating complaints against public security officers submitted by citizens and residents.</w:t>
      </w:r>
    </w:p>
    <w:p w14:paraId="04B32A92"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In addition to the above, several important mechanisms are in place, including:</w:t>
      </w:r>
    </w:p>
    <w:p w14:paraId="6874E37A"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Complaint boxes belonging to the Ombudsman’s Office and the Internal Audit and Investigation Directorate located inside detention facilities.</w:t>
      </w:r>
    </w:p>
    <w:p w14:paraId="6747A140"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Security surveillance cameras (audio and video) installed in all areas where detainees are present, operating around the clock to ensure their safety and security.</w:t>
      </w:r>
    </w:p>
    <w:p w14:paraId="4201FD99"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Information on detainees’ rights and responsibilities displayed in both Arabic and English in police stations.</w:t>
      </w:r>
    </w:p>
    <w:p w14:paraId="616ABF41"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Ministerial Order No. (14) of 2012 issued by the Minister of Interior regarding the Police Code of Conduct, which outlines the principles and obligations that officers must uphold and the legal accountability for any violations, ensuring compliance and preventing misconduct.</w:t>
      </w:r>
    </w:p>
    <w:p w14:paraId="5738174C"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A Memorandum of Understanding was signed in 2011 between the Ministry of Interior and the International Committee of the Red Cross (ICRC), allowing the ICRC to visit prisons and detention centers.</w:t>
      </w:r>
    </w:p>
    <w:p w14:paraId="1DE2B406" w14:textId="77777777" w:rsidR="002F2642" w:rsidRPr="00863B82" w:rsidRDefault="002F2642" w:rsidP="0085624E">
      <w:pPr>
        <w:numPr>
          <w:ilvl w:val="0"/>
          <w:numId w:val="8"/>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existence of a unified criminal system ("NAJM") serving as a security database between the Ministry of Interior and all other security agencies in Bahrain. This system </w:t>
      </w:r>
      <w:r w:rsidRPr="00863B82">
        <w:rPr>
          <w:rFonts w:ascii="Sakkal Majalla" w:hAnsi="Sakkal Majalla" w:cs="Sakkal Majalla"/>
          <w:sz w:val="32"/>
          <w:szCs w:val="32"/>
        </w:rPr>
        <w:lastRenderedPageBreak/>
        <w:t>records and tracks detainee data, and the timestamps for entries in the system—such as the date and time of detention—cannot be altered.</w:t>
      </w:r>
    </w:p>
    <w:p w14:paraId="1D2115DC" w14:textId="2FB92795"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20</w:t>
      </w:r>
      <w:r w:rsidRPr="00863B82">
        <w:rPr>
          <w:rFonts w:ascii="Sakkal Majalla" w:hAnsi="Sakkal Majalla" w:cs="Sakkal Majalla"/>
          <w:b/>
          <w:bCs/>
          <w:sz w:val="32"/>
          <w:szCs w:val="32"/>
        </w:rPr>
        <w:t>: Enforced Disappearance</w:t>
      </w:r>
    </w:p>
    <w:p w14:paraId="19505DEF"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Ministry of Interior affirms that there are no cases of enforced disappearance in the Kingdom of Bahrain, and that all arrest and detention procedures are carried out in accordance with the provisions of the Code of Criminal Procedure issued by Decree No. (46) of 2002, under the supervision of the competent judicial authorities. The Ministry is committed to ensuring the rights of all detainees, including enabling them to contact their families and lawyers, informing them immediately of the reasons for their detention, and presenting them before the Public Prosecution within 48 hours.</w:t>
      </w:r>
    </w:p>
    <w:p w14:paraId="3B305877"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Ministry places special importance on transparency and on documenting all stages of arrest and detention, reaffirming its approach based on respect for human dignity and the protection of </w:t>
      </w:r>
      <w:proofErr w:type="gramStart"/>
      <w:r w:rsidRPr="00863B82">
        <w:rPr>
          <w:rFonts w:ascii="Sakkal Majalla" w:hAnsi="Sakkal Majalla" w:cs="Sakkal Majalla"/>
          <w:sz w:val="32"/>
          <w:szCs w:val="32"/>
        </w:rPr>
        <w:t>each individual’s</w:t>
      </w:r>
      <w:proofErr w:type="gramEnd"/>
      <w:r w:rsidRPr="00863B82">
        <w:rPr>
          <w:rFonts w:ascii="Sakkal Majalla" w:hAnsi="Sakkal Majalla" w:cs="Sakkal Majalla"/>
          <w:sz w:val="32"/>
          <w:szCs w:val="32"/>
        </w:rPr>
        <w:t xml:space="preserve"> legal rights, in alignment with the Constitution and relevant international conventions.</w:t>
      </w:r>
    </w:p>
    <w:p w14:paraId="48BEA160"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No person is detained except for committing an act that constitutes an offense under Bahraini law—not because of human rights activity, social engagement, religious affiliation, or any other personal attribute. Detention and the execution of sentences occur only in designated facilities.</w:t>
      </w:r>
    </w:p>
    <w:p w14:paraId="5441B90A"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Arrest procedures are subject to strict legal and procedural safeguards, and several effective measures have been taken by the Ministry of Interior to ensure the protection of accused individuals, including:</w:t>
      </w:r>
    </w:p>
    <w:p w14:paraId="78649450" w14:textId="77777777" w:rsidR="002F2642" w:rsidRPr="00863B82" w:rsidRDefault="002F2642" w:rsidP="0085624E">
      <w:pPr>
        <w:numPr>
          <w:ilvl w:val="0"/>
          <w:numId w:val="9"/>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Arrests are carried out strictly in accordance with the legal procedures outlined in Article 61 of the Code of Criminal Procedure, and under the supervision of the Public Prosecution and judicial oversight.</w:t>
      </w:r>
    </w:p>
    <w:p w14:paraId="459ABF8B" w14:textId="77777777" w:rsidR="002F2642" w:rsidRPr="00863B82" w:rsidRDefault="002F2642" w:rsidP="0085624E">
      <w:pPr>
        <w:numPr>
          <w:ilvl w:val="0"/>
          <w:numId w:val="9"/>
        </w:numPr>
        <w:bidi w:val="0"/>
        <w:jc w:val="lowKashida"/>
        <w:rPr>
          <w:rFonts w:ascii="Sakkal Majalla" w:hAnsi="Sakkal Majalla" w:cs="Sakkal Majalla"/>
          <w:sz w:val="32"/>
          <w:szCs w:val="32"/>
        </w:rPr>
      </w:pPr>
      <w:r w:rsidRPr="00863B82">
        <w:rPr>
          <w:rFonts w:ascii="Sakkal Majalla" w:hAnsi="Sakkal Majalla" w:cs="Sakkal Majalla"/>
          <w:sz w:val="32"/>
          <w:szCs w:val="32"/>
        </w:rPr>
        <w:t>There is a unified criminal system linking the Ministry’s security directorates with the Public Prosecution. Reports recorded in this system have timestamps (date and time of detention) that cannot be altered.</w:t>
      </w:r>
    </w:p>
    <w:p w14:paraId="68C9D14B" w14:textId="314AECF4" w:rsidR="00870F8B" w:rsidRPr="00863B82" w:rsidRDefault="002F2642" w:rsidP="00863B82">
      <w:pPr>
        <w:numPr>
          <w:ilvl w:val="0"/>
          <w:numId w:val="9"/>
        </w:numPr>
        <w:bidi w:val="0"/>
        <w:jc w:val="lowKashida"/>
        <w:rPr>
          <w:rFonts w:ascii="Sakkal Majalla" w:hAnsi="Sakkal Majalla" w:cs="Sakkal Majalla"/>
          <w:sz w:val="32"/>
          <w:szCs w:val="32"/>
          <w:rtl/>
        </w:rPr>
      </w:pPr>
      <w:r w:rsidRPr="00863B82">
        <w:rPr>
          <w:rFonts w:ascii="Sakkal Majalla" w:hAnsi="Sakkal Majalla" w:cs="Sakkal Majalla"/>
          <w:sz w:val="32"/>
          <w:szCs w:val="32"/>
        </w:rPr>
        <w:t>The Ministry of Interior conducts audio and video recording of all evidence-gathering procedures through surveillance cameras to ensure no violations occur by police officers, in accordance with the instructions issued by the Chief of Public Security in 2012.</w:t>
      </w:r>
    </w:p>
    <w:p w14:paraId="5A6DFBC7" w14:textId="6D3842C9"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21</w:t>
      </w:r>
      <w:r w:rsidRPr="00863B82">
        <w:rPr>
          <w:rFonts w:ascii="Sakkal Majalla" w:hAnsi="Sakkal Majalla" w:cs="Sakkal Majalla"/>
          <w:b/>
          <w:bCs/>
          <w:sz w:val="32"/>
          <w:szCs w:val="32"/>
        </w:rPr>
        <w:t>: Stateless Persons</w:t>
      </w:r>
    </w:p>
    <w:p w14:paraId="4860ED4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Kingdom of Bahrain, under the prosperous reign of His Majesty the King, has worked diligently to eliminate the phenomenon of statelessness, ensuring that no group resides on Bahraini territory without holding either a Bahraini or foreign passport. Foreigners residing in the country are required to hold a visa or residence permit.</w:t>
      </w:r>
    </w:p>
    <w:p w14:paraId="497B19BA"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However, in accordance with the public interest, the preservation of civil peace, and the protection of national security—consistent with the Constitution, national legislation, and relevant international conventions regarding the revocation of </w:t>
      </w:r>
      <w:proofErr w:type="gramStart"/>
      <w:r w:rsidRPr="00863B82">
        <w:rPr>
          <w:rFonts w:ascii="Sakkal Majalla" w:hAnsi="Sakkal Majalla" w:cs="Sakkal Majalla"/>
          <w:sz w:val="32"/>
          <w:szCs w:val="32"/>
        </w:rPr>
        <w:t>nationality—</w:t>
      </w:r>
      <w:proofErr w:type="gramEnd"/>
      <w:r w:rsidRPr="00863B82">
        <w:rPr>
          <w:rFonts w:ascii="Sakkal Majalla" w:hAnsi="Sakkal Majalla" w:cs="Sakkal Majalla"/>
          <w:sz w:val="32"/>
          <w:szCs w:val="32"/>
        </w:rPr>
        <w:t>there have been limited cases of statelessness. These cases occur when individuals are born to parents whose Bahraini nationality was revoked and who do not hold any other nationality.</w:t>
      </w:r>
    </w:p>
    <w:p w14:paraId="1296CE1D"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It should be noted that anyone whose Bahraini citizenship has been revoked does </w:t>
      </w:r>
      <w:r w:rsidRPr="00863B82">
        <w:rPr>
          <w:rFonts w:ascii="Sakkal Majalla" w:hAnsi="Sakkal Majalla" w:cs="Sakkal Majalla"/>
          <w:b/>
          <w:bCs/>
          <w:sz w:val="32"/>
          <w:szCs w:val="32"/>
        </w:rPr>
        <w:t>not</w:t>
      </w:r>
      <w:r w:rsidRPr="00863B82">
        <w:rPr>
          <w:rFonts w:ascii="Sakkal Majalla" w:hAnsi="Sakkal Majalla" w:cs="Sakkal Majalla"/>
          <w:sz w:val="32"/>
          <w:szCs w:val="32"/>
        </w:rPr>
        <w:t xml:space="preserve"> have their personal identification documents withdrawn—such as their identity card or driver’s license. Rather, the nationality field on the identity card is updated, and a new identity card is issued </w:t>
      </w:r>
      <w:r w:rsidRPr="00863B82">
        <w:rPr>
          <w:rFonts w:ascii="Sakkal Majalla" w:hAnsi="Sakkal Majalla" w:cs="Sakkal Majalla"/>
          <w:sz w:val="32"/>
          <w:szCs w:val="32"/>
        </w:rPr>
        <w:lastRenderedPageBreak/>
        <w:t>reflecting the change. If the individual had acquired Bahraini nationality through naturalization, they are returned to their original passport, and their nationality status on the identity card is amended accordingly. They also retain their personal identification number. Moreover, individuals whose nationality has been revoked may obtain travel documents or temporary travel permits to facilitate their movement.</w:t>
      </w:r>
    </w:p>
    <w:p w14:paraId="3E6DE456"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Ministerial Resolution No. (89) of 2016, concerning the regulations and procedures required for implementing the provisions of Articles (8), (9), and (10) of the Bahraini Nationality Law, states in Article (8), Clause (4), regarding regularization of status, that:</w:t>
      </w:r>
    </w:p>
    <w:p w14:paraId="18DD7AC1"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“Any person whose Bahraini nationality has been revoked, withdrawn, or lost in accordance with the law and this Resolution shall be considered a foreigner and must regularize their status under the Foreigners Law within a period not exceeding four (4) weeks from the date of revocation, withdrawal, or loss of nationality, unless an extension is granted by the Minister.”</w:t>
      </w:r>
      <w:r w:rsidRPr="00863B82">
        <w:rPr>
          <w:rFonts w:ascii="Sakkal Majalla" w:hAnsi="Sakkal Majalla" w:cs="Sakkal Majalla"/>
          <w:sz w:val="32"/>
          <w:szCs w:val="32"/>
          <w:rtl/>
          <w:lang w:bidi="ar-BH"/>
        </w:rPr>
        <w:t>.</w:t>
      </w:r>
    </w:p>
    <w:p w14:paraId="03BB0AD8" w14:textId="22671C4C" w:rsidR="002F2642" w:rsidRPr="00863B82" w:rsidRDefault="002F2642"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Topic</w:t>
      </w:r>
      <w:r w:rsidR="00870F8B" w:rsidRPr="00863B82">
        <w:rPr>
          <w:rFonts w:ascii="Sakkal Majalla" w:hAnsi="Sakkal Majalla" w:cs="Sakkal Majalla"/>
          <w:b/>
          <w:bCs/>
          <w:sz w:val="32"/>
          <w:szCs w:val="32"/>
        </w:rPr>
        <w:t xml:space="preserve"> 22</w:t>
      </w:r>
      <w:r w:rsidRPr="00863B82">
        <w:rPr>
          <w:rFonts w:ascii="Sakkal Majalla" w:hAnsi="Sakkal Majalla" w:cs="Sakkal Majalla"/>
          <w:b/>
          <w:bCs/>
          <w:sz w:val="32"/>
          <w:szCs w:val="32"/>
        </w:rPr>
        <w:t>: Cooperation between Independent Oversight Mechanisms</w:t>
      </w:r>
    </w:p>
    <w:p w14:paraId="399BB3F2"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Both the National Institution for Human Rights (NIHR) and the Prisoners and Detainees Rights Commission (PDRC) play a central role in monitoring and inspecting places of detention to ensure proper treatment and respect for human dignity. These bodies exercise their mandates with full independence through announced and unannounced visits to all relevant facilities, and they issue public reports detailing their findings and follow-up recommendations.</w:t>
      </w:r>
    </w:p>
    <w:p w14:paraId="25531C96"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This coordination among national redress mechanisms has contributed to strengthening accountability, enhancing transparency, and ensuring the effective implementation of the Convention’s provisions in practice. In this context, the recommendations issued by these institutions were </w:t>
      </w:r>
      <w:proofErr w:type="gramStart"/>
      <w:r w:rsidRPr="00863B82">
        <w:rPr>
          <w:rFonts w:ascii="Sakkal Majalla" w:hAnsi="Sakkal Majalla" w:cs="Sakkal Majalla"/>
          <w:sz w:val="32"/>
          <w:szCs w:val="32"/>
        </w:rPr>
        <w:t>taken into account</w:t>
      </w:r>
      <w:proofErr w:type="gramEnd"/>
      <w:r w:rsidRPr="00863B82">
        <w:rPr>
          <w:rFonts w:ascii="Sakkal Majalla" w:hAnsi="Sakkal Majalla" w:cs="Sakkal Majalla"/>
          <w:sz w:val="32"/>
          <w:szCs w:val="32"/>
        </w:rPr>
        <w:t xml:space="preserve"> when adopting recent legislative amendments, most notably:</w:t>
      </w:r>
    </w:p>
    <w:p w14:paraId="007C7FE3" w14:textId="77777777" w:rsidR="002F2642" w:rsidRPr="00863B82" w:rsidRDefault="002F2642" w:rsidP="0085624E">
      <w:pPr>
        <w:numPr>
          <w:ilvl w:val="0"/>
          <w:numId w:val="10"/>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Law No. (6) of 2024 amending certain provisions of the Reform and Rehabilitation Institution Law.</w:t>
      </w:r>
    </w:p>
    <w:p w14:paraId="4342CF54" w14:textId="77777777" w:rsidR="002F2642" w:rsidRPr="00863B82" w:rsidRDefault="002F2642" w:rsidP="0085624E">
      <w:pPr>
        <w:numPr>
          <w:ilvl w:val="0"/>
          <w:numId w:val="10"/>
        </w:numPr>
        <w:bidi w:val="0"/>
        <w:jc w:val="lowKashida"/>
        <w:rPr>
          <w:rFonts w:ascii="Sakkal Majalla" w:hAnsi="Sakkal Majalla" w:cs="Sakkal Majalla"/>
          <w:sz w:val="32"/>
          <w:szCs w:val="32"/>
        </w:rPr>
      </w:pPr>
      <w:r w:rsidRPr="00863B82">
        <w:rPr>
          <w:rFonts w:ascii="Sakkal Majalla" w:hAnsi="Sakkal Majalla" w:cs="Sakkal Majalla"/>
          <w:sz w:val="32"/>
          <w:szCs w:val="32"/>
        </w:rPr>
        <w:t>Decision No. (49) of 2024 amending the executive regulations of Law No. (131) of 2015 on the organization of reform and rehabilitation centers.</w:t>
      </w:r>
    </w:p>
    <w:p w14:paraId="75189544" w14:textId="77777777" w:rsidR="002F2642" w:rsidRPr="00863B82" w:rsidRDefault="002F2642"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These amendments represent a significant step forward in promoting and protecting human rights within reform and rehabilitation centers, and include:</w:t>
      </w:r>
    </w:p>
    <w:p w14:paraId="4B234F82" w14:textId="77777777" w:rsidR="002F2642" w:rsidRPr="00863B82" w:rsidRDefault="002F2642" w:rsidP="0085624E">
      <w:pPr>
        <w:numPr>
          <w:ilvl w:val="0"/>
          <w:numId w:val="11"/>
        </w:numPr>
        <w:bidi w:val="0"/>
        <w:jc w:val="lowKashida"/>
        <w:rPr>
          <w:rFonts w:ascii="Sakkal Majalla" w:hAnsi="Sakkal Majalla" w:cs="Sakkal Majalla"/>
          <w:sz w:val="32"/>
          <w:szCs w:val="32"/>
        </w:rPr>
      </w:pPr>
      <w:r w:rsidRPr="00863B82">
        <w:rPr>
          <w:rFonts w:ascii="Sakkal Majalla" w:hAnsi="Sakkal Majalla" w:cs="Sakkal Majalla"/>
          <w:sz w:val="32"/>
          <w:szCs w:val="32"/>
        </w:rPr>
        <w:t>Transferring the management of center clinics to government hospitals as independent service providers operating under autonomous administration, thereby ensuring comprehensive, free healthcare for all inmates (Article 28 of Law No. 6 of 2024).</w:t>
      </w:r>
    </w:p>
    <w:p w14:paraId="24AE072B" w14:textId="77777777" w:rsidR="002F2642" w:rsidRPr="00863B82" w:rsidRDefault="002F2642" w:rsidP="0085624E">
      <w:pPr>
        <w:numPr>
          <w:ilvl w:val="0"/>
          <w:numId w:val="11"/>
        </w:numPr>
        <w:bidi w:val="0"/>
        <w:jc w:val="lowKashida"/>
        <w:rPr>
          <w:rFonts w:ascii="Sakkal Majalla" w:hAnsi="Sakkal Majalla" w:cs="Sakkal Majalla"/>
          <w:sz w:val="32"/>
          <w:szCs w:val="32"/>
        </w:rPr>
      </w:pPr>
      <w:r w:rsidRPr="00863B82">
        <w:rPr>
          <w:rFonts w:ascii="Sakkal Majalla" w:hAnsi="Sakkal Majalla" w:cs="Sakkal Majalla"/>
          <w:sz w:val="32"/>
          <w:szCs w:val="32"/>
        </w:rPr>
        <w:t>Expanding the scope of family visits beyond first- and second-degree relatives, to strengthen family ties and support social reintegration (Decision No. 49 of 2024).</w:t>
      </w:r>
    </w:p>
    <w:p w14:paraId="4355C766" w14:textId="77777777" w:rsidR="002F2642" w:rsidRPr="00863B82" w:rsidRDefault="002F2642" w:rsidP="0085624E">
      <w:pPr>
        <w:numPr>
          <w:ilvl w:val="0"/>
          <w:numId w:val="11"/>
        </w:numPr>
        <w:bidi w:val="0"/>
        <w:jc w:val="lowKashida"/>
        <w:rPr>
          <w:rFonts w:ascii="Sakkal Majalla" w:hAnsi="Sakkal Majalla" w:cs="Sakkal Majalla"/>
          <w:sz w:val="32"/>
          <w:szCs w:val="32"/>
        </w:rPr>
      </w:pPr>
      <w:r w:rsidRPr="00863B82">
        <w:rPr>
          <w:rFonts w:ascii="Sakkal Majalla" w:hAnsi="Sakkal Majalla" w:cs="Sakkal Majalla"/>
          <w:sz w:val="32"/>
          <w:szCs w:val="32"/>
        </w:rPr>
        <w:t>Increasing daily sunlight exposure and physical activity time to at least two hours for all inmates, supporting physical and mental well-being (same decision).</w:t>
      </w:r>
    </w:p>
    <w:p w14:paraId="46B8D3CB" w14:textId="2824A519" w:rsidR="00EE66D5" w:rsidRPr="00863B82" w:rsidRDefault="00EE66D5" w:rsidP="0085624E">
      <w:pPr>
        <w:pBdr>
          <w:top w:val="single" w:sz="4" w:space="1" w:color="auto"/>
          <w:left w:val="single" w:sz="4" w:space="4" w:color="auto"/>
          <w:bottom w:val="single" w:sz="4" w:space="1" w:color="auto"/>
          <w:right w:val="single" w:sz="4" w:space="4" w:color="auto"/>
        </w:pBdr>
        <w:shd w:val="pct10" w:color="auto" w:fill="auto"/>
        <w:bidi w:val="0"/>
        <w:jc w:val="lowKashida"/>
        <w:rPr>
          <w:rFonts w:ascii="Sakkal Majalla" w:hAnsi="Sakkal Majalla" w:cs="Sakkal Majalla"/>
          <w:b/>
          <w:bCs/>
          <w:sz w:val="32"/>
          <w:szCs w:val="32"/>
        </w:rPr>
      </w:pPr>
      <w:r w:rsidRPr="00863B82">
        <w:rPr>
          <w:rFonts w:ascii="Sakkal Majalla" w:hAnsi="Sakkal Majalla" w:cs="Sakkal Majalla"/>
          <w:b/>
          <w:bCs/>
          <w:sz w:val="32"/>
          <w:szCs w:val="32"/>
          <w:lang w:val="en"/>
        </w:rPr>
        <w:t xml:space="preserve">Topic </w:t>
      </w:r>
      <w:r w:rsidR="00870F8B" w:rsidRPr="00863B82">
        <w:rPr>
          <w:rFonts w:ascii="Sakkal Majalla" w:hAnsi="Sakkal Majalla" w:cs="Sakkal Majalla"/>
          <w:b/>
          <w:bCs/>
          <w:sz w:val="32"/>
          <w:szCs w:val="32"/>
          <w:lang w:val="en"/>
        </w:rPr>
        <w:t>23</w:t>
      </w:r>
      <w:r w:rsidRPr="00863B82">
        <w:rPr>
          <w:rFonts w:ascii="Sakkal Majalla" w:hAnsi="Sakkal Majalla" w:cs="Sakkal Majalla"/>
          <w:b/>
          <w:bCs/>
          <w:sz w:val="32"/>
          <w:szCs w:val="32"/>
          <w:lang w:val="en"/>
        </w:rPr>
        <w:t xml:space="preserve">: Cooperation with United Nations Mechanisms and </w:t>
      </w:r>
      <w:r w:rsidRPr="00863B82">
        <w:rPr>
          <w:rFonts w:ascii="Sakkal Majalla" w:hAnsi="Sakkal Majalla" w:cs="Sakkal Majalla"/>
          <w:b/>
          <w:bCs/>
          <w:sz w:val="32"/>
          <w:szCs w:val="32"/>
        </w:rPr>
        <w:t>International Organizations</w:t>
      </w:r>
    </w:p>
    <w:p w14:paraId="3BA1E432"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Regarding cooperation with the Office of the High Commissioner for Human Rights (OHCHR), the Kingdom of Bahrain maintains an institutional and ongoing relationship with the Office of the High Commissioner, built on </w:t>
      </w:r>
      <w:proofErr w:type="gramStart"/>
      <w:r w:rsidRPr="00863B82">
        <w:rPr>
          <w:rFonts w:ascii="Sakkal Majalla" w:hAnsi="Sakkal Majalla" w:cs="Sakkal Majalla"/>
          <w:sz w:val="32"/>
          <w:szCs w:val="32"/>
        </w:rPr>
        <w:t>mutual cooperation</w:t>
      </w:r>
      <w:proofErr w:type="gramEnd"/>
      <w:r w:rsidRPr="00863B82">
        <w:rPr>
          <w:rFonts w:ascii="Sakkal Majalla" w:hAnsi="Sakkal Majalla" w:cs="Sakkal Majalla"/>
          <w:sz w:val="32"/>
          <w:szCs w:val="32"/>
        </w:rPr>
        <w:t xml:space="preserve">, transparency, and continuous coordination to implement programs aimed at developing national institutions and sharing Bahrain’s experiences and expertise abroad. For example, the Regional Representative of the OHCHR for the Middle East and North Africa, along with other representatives of UN agencies and offices, participated in the consultative workshops for the preparation of the National Human Rights Plan 2022–2026. Furthermore, the matter of a visit by the High Commissioner for Human Rights </w:t>
      </w:r>
      <w:r w:rsidRPr="00863B82">
        <w:rPr>
          <w:rFonts w:ascii="Sakkal Majalla" w:hAnsi="Sakkal Majalla" w:cs="Sakkal Majalla"/>
          <w:sz w:val="32"/>
          <w:szCs w:val="32"/>
        </w:rPr>
        <w:lastRenderedPageBreak/>
        <w:t>continues to be followed up in a manner that aligns with both sides regarding the appropriate timing and the potential outcomes that such a visit may achieve.</w:t>
      </w:r>
    </w:p>
    <w:p w14:paraId="4CBC16A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Regarding cooperation with the Special Procedures, the Kingdom of Bahrain reaffirms its commitment to working with the United Nations in all its bodies and Special Procedures. Bahrain continuously examines the possibility of conducting such visits, in accordance with shared priorities and the potential outcomes these visits may bring to the human rights situation in the Kingdom. Nevertheless, we reiterate Bahrain’s commitment to maintaining ongoing and effective communication with the Special Procedures, whether through responding to urgent appeals or regular inquiries, and by providing all requested information with full transparency.</w:t>
      </w:r>
    </w:p>
    <w:p w14:paraId="66BDB8E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As for cooperation with the International Committee of the Red Cross (ICRC):</w:t>
      </w:r>
      <w:r w:rsidRPr="00863B82">
        <w:rPr>
          <w:rFonts w:ascii="Sakkal Majalla" w:hAnsi="Sakkal Majalla" w:cs="Sakkal Majalla"/>
          <w:sz w:val="32"/>
          <w:szCs w:val="32"/>
        </w:rPr>
        <w:br/>
        <w:t>The Ministry of Interior has signed a Memorandum of Understanding with the ICRC, under which the Ministry allows the Committee to visit inmates in correctional and rehabilitation centers, as well as detention facilities under its authority. Furthermore, training courses are held concerning the rules governing the use of force and the circumstances involving the use of weapons in general, and the Ministry also relies on the ICRC to deliver lectures for staff working in correctional and rehabilitation centers.</w:t>
      </w:r>
    </w:p>
    <w:p w14:paraId="176AF3D3" w14:textId="4F38CE0B" w:rsidR="00EE66D5" w:rsidRPr="00863B82" w:rsidRDefault="00EE66D5"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 xml:space="preserve">Topic </w:t>
      </w:r>
      <w:r w:rsidR="0084582A" w:rsidRPr="00863B82">
        <w:rPr>
          <w:rFonts w:ascii="Sakkal Majalla" w:hAnsi="Sakkal Majalla" w:cs="Sakkal Majalla"/>
          <w:b/>
          <w:bCs/>
          <w:sz w:val="32"/>
          <w:szCs w:val="32"/>
        </w:rPr>
        <w:t>24</w:t>
      </w:r>
      <w:r w:rsidRPr="00863B82">
        <w:rPr>
          <w:rFonts w:ascii="Sakkal Majalla" w:hAnsi="Sakkal Majalla" w:cs="Sakkal Majalla"/>
          <w:b/>
          <w:bCs/>
          <w:sz w:val="32"/>
          <w:szCs w:val="32"/>
        </w:rPr>
        <w:t>: The Optional Protocol to the Convention against Torture (OPCAT)</w:t>
      </w:r>
    </w:p>
    <w:p w14:paraId="7D1895D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Kingdom of Bahrain values the objectives and purposes of the Optional Protocol and affirms that the spirit of this Protocol is already effectively realized within the national framework through the existence of independent preventive oversight mechanisms that are established and functioning effectively. These mechanisms perform the same roles envisaged under the Protocol without the need to amend the legal framework or create a new entity.</w:t>
      </w:r>
    </w:p>
    <w:p w14:paraId="3338DE5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In this context, the Kingdom has key national mechanisms that practically carry out the same preventive and monitoring functions targeted by the Optional Protocol, forming a comprehensive national preventive system that achieves the same objective of the Protocol—namely, preventing torture and ill-treatment through independent oversight and transparency. It is worth noting that the decree establishing the Prisoners and Detainees Rights Commission took into consideration the principles of the Optional Protocol.</w:t>
      </w:r>
    </w:p>
    <w:p w14:paraId="27B6F1BF"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Accordingly, the national framework effectively embodies the core objectives of the Optional Protocol and is considered one of the few models in the region that allows independent bodies to access places of detention without prior notice, in line with international standards and reflecting the Kingdom’s voluntary commitment to a preventive approach. The Kingdom of Bahrain does not rule out future accession to the Protocol; the matter remains under continuous review by the executive, legislative, and judicial authorities to ensure that any step taken aligns with national legal and constitutional particularities.</w:t>
      </w:r>
    </w:p>
    <w:p w14:paraId="3064F811" w14:textId="3584AEA0" w:rsidR="00EE66D5" w:rsidRPr="00863B82" w:rsidRDefault="00EE66D5" w:rsidP="0085624E">
      <w:pPr>
        <w:pBdr>
          <w:top w:val="single" w:sz="4" w:space="1" w:color="auto" w:shadow="1"/>
          <w:left w:val="single" w:sz="4" w:space="4" w:color="auto" w:shadow="1"/>
          <w:bottom w:val="single" w:sz="4" w:space="1" w:color="auto" w:shadow="1"/>
          <w:right w:val="single" w:sz="4" w:space="4" w:color="auto" w:shadow="1"/>
        </w:pBdr>
        <w:shd w:val="pct10" w:color="auto" w:fill="auto"/>
        <w:bidi w:val="0"/>
        <w:jc w:val="lowKashida"/>
        <w:rPr>
          <w:rFonts w:ascii="Sakkal Majalla" w:hAnsi="Sakkal Majalla" w:cs="Sakkal Majalla"/>
          <w:b/>
          <w:bCs/>
          <w:sz w:val="32"/>
          <w:szCs w:val="32"/>
          <w:rtl/>
        </w:rPr>
      </w:pPr>
      <w:r w:rsidRPr="00863B82">
        <w:rPr>
          <w:rFonts w:ascii="Sakkal Majalla" w:hAnsi="Sakkal Majalla" w:cs="Sakkal Majalla"/>
          <w:b/>
          <w:bCs/>
          <w:sz w:val="32"/>
          <w:szCs w:val="32"/>
        </w:rPr>
        <w:t xml:space="preserve">Topic </w:t>
      </w:r>
      <w:r w:rsidR="0084582A" w:rsidRPr="00863B82">
        <w:rPr>
          <w:rFonts w:ascii="Sakkal Majalla" w:hAnsi="Sakkal Majalla" w:cs="Sakkal Majalla"/>
          <w:b/>
          <w:bCs/>
          <w:sz w:val="32"/>
          <w:szCs w:val="32"/>
        </w:rPr>
        <w:t>25</w:t>
      </w:r>
      <w:r w:rsidRPr="00863B82">
        <w:rPr>
          <w:rFonts w:ascii="Sakkal Majalla" w:hAnsi="Sakkal Majalla" w:cs="Sakkal Majalla"/>
          <w:b/>
          <w:bCs/>
          <w:sz w:val="32"/>
          <w:szCs w:val="32"/>
        </w:rPr>
        <w:t>: Living, Health, and Rehabilitation Care Provided to Inmates, and the Conditions of Correctional, Rehabilitation, and Detention Centers”</w:t>
      </w:r>
    </w:p>
    <w:p w14:paraId="2C8D6930" w14:textId="77777777" w:rsidR="00EE66D5" w:rsidRPr="00863B82" w:rsidRDefault="00EE66D5" w:rsidP="0085624E">
      <w:pPr>
        <w:pStyle w:val="ListParagraph"/>
        <w:bidi w:val="0"/>
        <w:ind w:left="0"/>
        <w:jc w:val="lowKashida"/>
        <w:rPr>
          <w:rFonts w:ascii="Sakkal Majalla" w:hAnsi="Sakkal Majalla" w:cs="Sakkal Majalla"/>
          <w:sz w:val="32"/>
          <w:szCs w:val="32"/>
        </w:rPr>
      </w:pPr>
      <w:r w:rsidRPr="00863B82">
        <w:rPr>
          <w:rFonts w:ascii="Sakkal Majalla" w:hAnsi="Sakkal Majalla" w:cs="Sakkal Majalla"/>
          <w:sz w:val="32"/>
          <w:szCs w:val="32"/>
        </w:rPr>
        <w:t xml:space="preserve">The Kingdom of Bahrain accords special attention to the situation of inmates in correctional and rehabilitation centers, based on the principle that punishment is not an end </w:t>
      </w:r>
      <w:proofErr w:type="gramStart"/>
      <w:r w:rsidRPr="00863B82">
        <w:rPr>
          <w:rFonts w:ascii="Sakkal Majalla" w:hAnsi="Sakkal Majalla" w:cs="Sakkal Majalla"/>
          <w:sz w:val="32"/>
          <w:szCs w:val="32"/>
        </w:rPr>
        <w:t>in itself but</w:t>
      </w:r>
      <w:proofErr w:type="gramEnd"/>
      <w:r w:rsidRPr="00863B82">
        <w:rPr>
          <w:rFonts w:ascii="Sakkal Majalla" w:hAnsi="Sakkal Majalla" w:cs="Sakkal Majalla"/>
          <w:sz w:val="32"/>
          <w:szCs w:val="32"/>
        </w:rPr>
        <w:t xml:space="preserve"> a means for rehabilitation and reintegration, and that human dignity is not diminished by crime or judicial conviction. This approach has been reflected in a package of legislative, institutional, and practical reforms, including:</w:t>
      </w:r>
    </w:p>
    <w:p w14:paraId="48091514"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Improving the environment of correctional and rehabilitation centers, in terms of infrastructure and services.</w:t>
      </w:r>
    </w:p>
    <w:p w14:paraId="1F7A746A"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Introducing alternatives to custodial sentences (the Alternative Sentencing and Measures Law).</w:t>
      </w:r>
    </w:p>
    <w:p w14:paraId="37D0B94F"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lastRenderedPageBreak/>
        <w:t>Establishing a specialized open-prison program targeting medium- and high-risk inmates.</w:t>
      </w:r>
    </w:p>
    <w:p w14:paraId="5D61EB62"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Transferring inmate healthcare to the supervision of public health institutions and upgrading medical clinics inside prisons.</w:t>
      </w:r>
    </w:p>
    <w:p w14:paraId="108FE6B8"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Implementing advanced rehabilitation, educational, and vocational programs, and expanding family visitation and sports activities.</w:t>
      </w:r>
    </w:p>
    <w:p w14:paraId="7B92EBB2" w14:textId="77777777" w:rsidR="00EE66D5" w:rsidRPr="00863B82" w:rsidRDefault="00EE66D5" w:rsidP="0085624E">
      <w:pPr>
        <w:pStyle w:val="ListParagraph"/>
        <w:numPr>
          <w:ilvl w:val="0"/>
          <w:numId w:val="19"/>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Reducing overcrowding through non-custodial alternatives, new modern facilities, and repeated Royal Pardons.</w:t>
      </w:r>
    </w:p>
    <w:p w14:paraId="4E68F71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detailed explanation is organized around four main pillars:</w:t>
      </w:r>
    </w:p>
    <w:p w14:paraId="2BDCD94C" w14:textId="77777777" w:rsidR="00EE66D5" w:rsidRPr="00863B82" w:rsidRDefault="00EE66D5" w:rsidP="0085624E">
      <w:pPr>
        <w:numPr>
          <w:ilvl w:val="0"/>
          <w:numId w:val="20"/>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Living conditions and environmental standards inside correctional and rehabilitation centers.</w:t>
      </w:r>
    </w:p>
    <w:p w14:paraId="5288F035" w14:textId="77777777" w:rsidR="00EE66D5" w:rsidRPr="00863B82" w:rsidRDefault="00EE66D5" w:rsidP="0085624E">
      <w:pPr>
        <w:numPr>
          <w:ilvl w:val="0"/>
          <w:numId w:val="20"/>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Healthcare services for inmates and the development of medical oversight.</w:t>
      </w:r>
    </w:p>
    <w:p w14:paraId="6A73F28D" w14:textId="77777777" w:rsidR="00EE66D5" w:rsidRPr="00863B82" w:rsidRDefault="00EE66D5" w:rsidP="0085624E">
      <w:pPr>
        <w:numPr>
          <w:ilvl w:val="0"/>
          <w:numId w:val="20"/>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Rehabilitation, educational, and vocational programs, and reintegration efforts.</w:t>
      </w:r>
    </w:p>
    <w:p w14:paraId="7D2CE821" w14:textId="77777777" w:rsidR="00EE66D5" w:rsidRPr="00863B82" w:rsidRDefault="00EE66D5" w:rsidP="0085624E">
      <w:pPr>
        <w:numPr>
          <w:ilvl w:val="0"/>
          <w:numId w:val="20"/>
        </w:numPr>
        <w:tabs>
          <w:tab w:val="clear" w:pos="720"/>
          <w:tab w:val="num" w:pos="360"/>
        </w:tabs>
        <w:bidi w:val="0"/>
        <w:ind w:left="360"/>
        <w:jc w:val="lowKashida"/>
        <w:rPr>
          <w:rFonts w:ascii="Sakkal Majalla" w:hAnsi="Sakkal Majalla" w:cs="Sakkal Majalla"/>
          <w:sz w:val="32"/>
          <w:szCs w:val="32"/>
        </w:rPr>
      </w:pPr>
      <w:r w:rsidRPr="00863B82">
        <w:rPr>
          <w:rFonts w:ascii="Sakkal Majalla" w:hAnsi="Sakkal Majalla" w:cs="Sakkal Majalla"/>
          <w:sz w:val="32"/>
          <w:szCs w:val="32"/>
        </w:rPr>
        <w:t>The alternative sentencing system, the open-prison program, and efforts to reduce overcrowding and improve infrastructure.</w:t>
      </w:r>
    </w:p>
    <w:p w14:paraId="3ED2432F"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First: Living Conditions and the Improvement of the Environment in Correctional and Rehabilitation Centers</w:t>
      </w:r>
    </w:p>
    <w:p w14:paraId="23682C08"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In recent years, Bahrain has worked to address one of the most longstanding challenges in prisons—overcrowding—through a dual-track approach: constructing new modern facilities and expanding the scope of alternatives to imprisonment. New multi-story buildings have been constructed at Jau Correction and Rehabilitation Center, designed according to architectural and humanitarian standards that ensure adequate living space, ventilation, lighting, and privacy. These facilities also allow for the separation of inmates based on age, type of offense, and risk level, which contributes to reducing overcrowding and improving overall living conditions.</w:t>
      </w:r>
    </w:p>
    <w:p w14:paraId="6E6DED18" w14:textId="77777777" w:rsidR="00EE66D5" w:rsidRPr="00863B82" w:rsidRDefault="00EE66D5"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lastRenderedPageBreak/>
        <w:t xml:space="preserve">Bahrain has also exerted significant efforts, supported by innovative legislation, to ensure the absence of overcrowding and to provide a humane living environment. National oversight </w:t>
      </w:r>
      <w:proofErr w:type="gramStart"/>
      <w:r w:rsidRPr="00863B82">
        <w:rPr>
          <w:rFonts w:ascii="Sakkal Majalla" w:hAnsi="Sakkal Majalla" w:cs="Sakkal Majalla"/>
          <w:sz w:val="32"/>
          <w:szCs w:val="32"/>
        </w:rPr>
        <w:t>bodies—</w:t>
      </w:r>
      <w:proofErr w:type="gramEnd"/>
      <w:r w:rsidRPr="00863B82">
        <w:rPr>
          <w:rFonts w:ascii="Sakkal Majalla" w:hAnsi="Sakkal Majalla" w:cs="Sakkal Majalla"/>
          <w:sz w:val="32"/>
          <w:szCs w:val="32"/>
        </w:rPr>
        <w:t>foremost among them the Prisoners and Detainees Rights Commission (PDRC)</w:t>
      </w:r>
      <w:proofErr w:type="gramStart"/>
      <w:r w:rsidRPr="00863B82">
        <w:rPr>
          <w:rFonts w:ascii="Sakkal Majalla" w:hAnsi="Sakkal Majalla" w:cs="Sakkal Majalla"/>
          <w:sz w:val="32"/>
          <w:szCs w:val="32"/>
        </w:rPr>
        <w:t>—have</w:t>
      </w:r>
      <w:proofErr w:type="gramEnd"/>
      <w:r w:rsidRPr="00863B82">
        <w:rPr>
          <w:rFonts w:ascii="Sakkal Majalla" w:hAnsi="Sakkal Majalla" w:cs="Sakkal Majalla"/>
          <w:sz w:val="32"/>
          <w:szCs w:val="32"/>
        </w:rPr>
        <w:t xml:space="preserve"> reported no overcrowding in correctional and rehabilitation centers. It is worth noting that Bahrain has one correction and rehabilitation center for adult male inmates located in Jau, in addition to a separate facility for juvenile inmates in the Dry Dock area, and one center for female inmates in Isa Town. Similarly, reports issued by the National Institution for Human Rights (NIHR) confirm that “the conditions of detention and accommodation in the centers meet the required standards regarding space allocated per inmate, and there is no indication of overcrowding.” The NIHR also affirmed that the administration provides personal hygiene supplies and living necessities on a regular basis. The absence of overcrowding has allowed for allocating larger spaces for inmate rooms, recreational facilities, and libraries—exceeding the minimum international standard for individual living space (typically around 3.44 square meters per inmate).</w:t>
      </w:r>
    </w:p>
    <w:p w14:paraId="0A2DA8C9"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 xml:space="preserve">On the other hand, a fully equipped modern clinic building has been opened within the correctional system, reflecting that infrastructure development has not been limited to accommodation wings but has extended to advanced service and healthcare facilities. National statistics presented in official reports indicate that the total number of beneficiaries of the Alternative Sentencing and Measures Program since its implementation in July 2017 until 2025 has exceeded 9,500 individuals. Thousands of inmates have also benefited from Royal Pardons during the period 2022–2025, which has contributed to reducing pressure on detention facilities. Additionally, hundreds of inmates have benefited from the open-prison program, which itself serves as a direct tool in lowering occupancy rates in traditional buildings. These </w:t>
      </w:r>
      <w:proofErr w:type="gramStart"/>
      <w:r w:rsidRPr="00863B82">
        <w:rPr>
          <w:rFonts w:ascii="Sakkal Majalla" w:hAnsi="Sakkal Majalla" w:cs="Sakkal Majalla"/>
          <w:color w:val="000000" w:themeColor="text1"/>
          <w:sz w:val="32"/>
          <w:szCs w:val="32"/>
        </w:rPr>
        <w:t>figures—</w:t>
      </w:r>
      <w:proofErr w:type="gramEnd"/>
      <w:r w:rsidRPr="00863B82">
        <w:rPr>
          <w:rFonts w:ascii="Sakkal Majalla" w:hAnsi="Sakkal Majalla" w:cs="Sakkal Majalla"/>
          <w:color w:val="000000" w:themeColor="text1"/>
          <w:sz w:val="32"/>
          <w:szCs w:val="32"/>
        </w:rPr>
        <w:lastRenderedPageBreak/>
        <w:t xml:space="preserve">together with the construction of new </w:t>
      </w:r>
      <w:proofErr w:type="gramStart"/>
      <w:r w:rsidRPr="00863B82">
        <w:rPr>
          <w:rFonts w:ascii="Sakkal Majalla" w:hAnsi="Sakkal Majalla" w:cs="Sakkal Majalla"/>
          <w:color w:val="000000" w:themeColor="text1"/>
          <w:sz w:val="32"/>
          <w:szCs w:val="32"/>
        </w:rPr>
        <w:t>facilities—</w:t>
      </w:r>
      <w:proofErr w:type="gramEnd"/>
      <w:r w:rsidRPr="00863B82">
        <w:rPr>
          <w:rFonts w:ascii="Sakkal Majalla" w:hAnsi="Sakkal Majalla" w:cs="Sakkal Majalla"/>
          <w:color w:val="000000" w:themeColor="text1"/>
          <w:sz w:val="32"/>
          <w:szCs w:val="32"/>
        </w:rPr>
        <w:t>have led to a significant reduction in overcrowding levels and a redistribution of inmates into more spacious and modern facilities.</w:t>
      </w:r>
    </w:p>
    <w:p w14:paraId="14B0CC43"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In this regard, the Ministry of Interior attaches great importance to addressing overcrowding within correctional and rehabilitation institutions, working within the framework of Law No. (18) of 2014 on the Correction and Rehabilitation Institution and its Executive Regulations. This is carried out through the application of rehabilitation and reform programs, alternative measures to custodial sentences as stipulated in the Penal Code and the Code of Criminal Procedures, Law No. (18) of 2017 on Alternative Sentencing and Measures, the open-prison program, and the Royal Pardons granted on national and religious occasions.</w:t>
      </w:r>
    </w:p>
    <w:p w14:paraId="5D98E461"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The Royal Pardon initiatives complement the Ministry’s implementation of alternative sentencing programs and the open-prison program, thereby achieving the objectives of modern criminal justice policy—reintegration of inmates into society and reduction of recidivism, in addition to easing overcrowding and ensuring a rehabilitative environment that safeguards human dignity and fundamental rights.</w:t>
      </w:r>
    </w:p>
    <w:p w14:paraId="4D7E465D"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 xml:space="preserve">These efforts aim to reduce inmate density by enabling eligible convicted persons to serve their sentences in open-prison facilities or to implement alternative measures such as community service, house arrest, and other measures provided for in the Alternative Sentencing Law. The Ministry also continues to develop the infrastructure of correctional </w:t>
      </w:r>
      <w:proofErr w:type="gramStart"/>
      <w:r w:rsidRPr="00863B82">
        <w:rPr>
          <w:rFonts w:ascii="Sakkal Majalla" w:hAnsi="Sakkal Majalla" w:cs="Sakkal Majalla"/>
          <w:color w:val="000000" w:themeColor="text1"/>
          <w:sz w:val="32"/>
          <w:szCs w:val="32"/>
        </w:rPr>
        <w:t>institutions, and</w:t>
      </w:r>
      <w:proofErr w:type="gramEnd"/>
      <w:r w:rsidRPr="00863B82">
        <w:rPr>
          <w:rFonts w:ascii="Sakkal Majalla" w:hAnsi="Sakkal Majalla" w:cs="Sakkal Majalla"/>
          <w:color w:val="000000" w:themeColor="text1"/>
          <w:sz w:val="32"/>
          <w:szCs w:val="32"/>
        </w:rPr>
        <w:t xml:space="preserve"> has constructed six modern buildings to ensure that appropriate living and humanitarian conditions are available to inmates.</w:t>
      </w:r>
    </w:p>
    <w:p w14:paraId="005E318F" w14:textId="77777777" w:rsidR="00EE66D5" w:rsidRPr="00863B82" w:rsidRDefault="00EE66D5" w:rsidP="0085624E">
      <w:pPr>
        <w:bidi w:val="0"/>
        <w:jc w:val="lowKashida"/>
        <w:rPr>
          <w:rFonts w:ascii="Sakkal Majalla" w:hAnsi="Sakkal Majalla" w:cs="Sakkal Majalla"/>
          <w:color w:val="000000" w:themeColor="text1"/>
          <w:sz w:val="32"/>
          <w:szCs w:val="32"/>
          <w:rtl/>
        </w:rPr>
      </w:pPr>
      <w:r w:rsidRPr="00863B82">
        <w:rPr>
          <w:rFonts w:ascii="Sakkal Majalla" w:hAnsi="Sakkal Majalla" w:cs="Sakkal Majalla"/>
          <w:color w:val="000000" w:themeColor="text1"/>
          <w:sz w:val="32"/>
          <w:szCs w:val="32"/>
        </w:rPr>
        <w:t xml:space="preserve">The Ministry affirms that these measures reflect its commitment to international </w:t>
      </w:r>
      <w:proofErr w:type="gramStart"/>
      <w:r w:rsidRPr="00863B82">
        <w:rPr>
          <w:rFonts w:ascii="Sakkal Majalla" w:hAnsi="Sakkal Majalla" w:cs="Sakkal Majalla"/>
          <w:color w:val="000000" w:themeColor="text1"/>
          <w:sz w:val="32"/>
          <w:szCs w:val="32"/>
        </w:rPr>
        <w:t>standards—</w:t>
      </w:r>
      <w:proofErr w:type="gramEnd"/>
      <w:r w:rsidRPr="00863B82">
        <w:rPr>
          <w:rFonts w:ascii="Sakkal Majalla" w:hAnsi="Sakkal Majalla" w:cs="Sakkal Majalla"/>
          <w:color w:val="000000" w:themeColor="text1"/>
          <w:sz w:val="32"/>
          <w:szCs w:val="32"/>
        </w:rPr>
        <w:t xml:space="preserve">particularly the Nelson Mandela Rules and the Bangkok </w:t>
      </w:r>
      <w:proofErr w:type="gramStart"/>
      <w:r w:rsidRPr="00863B82">
        <w:rPr>
          <w:rFonts w:ascii="Sakkal Majalla" w:hAnsi="Sakkal Majalla" w:cs="Sakkal Majalla"/>
          <w:color w:val="000000" w:themeColor="text1"/>
          <w:sz w:val="32"/>
          <w:szCs w:val="32"/>
        </w:rPr>
        <w:t>Rules—</w:t>
      </w:r>
      <w:proofErr w:type="gramEnd"/>
      <w:r w:rsidRPr="00863B82">
        <w:rPr>
          <w:rFonts w:ascii="Sakkal Majalla" w:hAnsi="Sakkal Majalla" w:cs="Sakkal Majalla"/>
          <w:color w:val="000000" w:themeColor="text1"/>
          <w:sz w:val="32"/>
          <w:szCs w:val="32"/>
        </w:rPr>
        <w:t xml:space="preserve">which emphasize the necessity of providing detention facilities that respect human dignity and health </w:t>
      </w:r>
      <w:proofErr w:type="gramStart"/>
      <w:r w:rsidRPr="00863B82">
        <w:rPr>
          <w:rFonts w:ascii="Sakkal Majalla" w:hAnsi="Sakkal Majalla" w:cs="Sakkal Majalla"/>
          <w:color w:val="000000" w:themeColor="text1"/>
          <w:sz w:val="32"/>
          <w:szCs w:val="32"/>
        </w:rPr>
        <w:t>requirements, and</w:t>
      </w:r>
      <w:proofErr w:type="gramEnd"/>
      <w:r w:rsidRPr="00863B82">
        <w:rPr>
          <w:rFonts w:ascii="Sakkal Majalla" w:hAnsi="Sakkal Majalla" w:cs="Sakkal Majalla"/>
          <w:color w:val="000000" w:themeColor="text1"/>
          <w:sz w:val="32"/>
          <w:szCs w:val="32"/>
        </w:rPr>
        <w:t xml:space="preserve"> prohibit </w:t>
      </w:r>
      <w:r w:rsidRPr="00863B82">
        <w:rPr>
          <w:rFonts w:ascii="Sakkal Majalla" w:hAnsi="Sakkal Majalla" w:cs="Sakkal Majalla"/>
          <w:color w:val="000000" w:themeColor="text1"/>
          <w:sz w:val="32"/>
          <w:szCs w:val="32"/>
        </w:rPr>
        <w:lastRenderedPageBreak/>
        <w:t>overcrowding that could undermine inmates’ rights to healthcare, hygiene, ventilation, and privacy.</w:t>
      </w:r>
    </w:p>
    <w:p w14:paraId="389FF146"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The Ministry of Interior plays a central role in the operation of correctional and rehabilitation centers by ensuring that all deprivation-of-liberty and rehabilitation measures are aligned with international human rights standards—particularly the provisions of the Convention against Torture. The Ministry trains staff working in correctional and rehabilitation centers on humane treatment methods, reinforces a culture of respect for human dignity, and prevents any practices that may infringe on inmates’ physical or psychological well-being. The Ministry is also committed to implementing comprehensive rehabilitation and reform programs focusing on education, vocational training, and psychological and social support, with the aim of reintegrating inmates into society after completing their sentences. This reflects the Ministry’s firm belief that the purpose of punishment is rehabilitation, not retribution, and that safeguarding the rights of inmates and pre-trial detainees is a fundamental pillar of the criminal justice system in the Kingdom of Bahrain.</w:t>
      </w:r>
    </w:p>
    <w:p w14:paraId="6AF7D85B"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 xml:space="preserve">The Ministry of Interior strictly adheres to all laws and regulations governing correctional and rehabilitation centers, as well as the international conventions to which the Kingdom of Bahrain is a party. It also ensures the protection of the rights and duties of inmates and pre-trial detainees as stipulated in Law No. (18) of 2014 and its Executive Regulations issued by Resolution No. (131) of 2015, which are aligned with the Nelson Mandela Rules (the UN Standard Minimum Rules for the Treatment of Prisoners). These rights include access to healthcare, psychological and social services, the right to pursue education, communicate with the outside world (including telephone calls), freely </w:t>
      </w:r>
      <w:proofErr w:type="gramStart"/>
      <w:r w:rsidRPr="00863B82">
        <w:rPr>
          <w:rFonts w:ascii="Sakkal Majalla" w:hAnsi="Sakkal Majalla" w:cs="Sakkal Majalla"/>
          <w:color w:val="000000" w:themeColor="text1"/>
          <w:sz w:val="32"/>
          <w:szCs w:val="32"/>
        </w:rPr>
        <w:t>practice</w:t>
      </w:r>
      <w:proofErr w:type="gramEnd"/>
      <w:r w:rsidRPr="00863B82">
        <w:rPr>
          <w:rFonts w:ascii="Sakkal Majalla" w:hAnsi="Sakkal Majalla" w:cs="Sakkal Majalla"/>
          <w:color w:val="000000" w:themeColor="text1"/>
          <w:sz w:val="32"/>
          <w:szCs w:val="32"/>
        </w:rPr>
        <w:t xml:space="preserve"> religious rituals, </w:t>
      </w:r>
      <w:proofErr w:type="gramStart"/>
      <w:r w:rsidRPr="00863B82">
        <w:rPr>
          <w:rFonts w:ascii="Sakkal Majalla" w:hAnsi="Sakkal Majalla" w:cs="Sakkal Majalla"/>
          <w:color w:val="000000" w:themeColor="text1"/>
          <w:sz w:val="32"/>
          <w:szCs w:val="32"/>
        </w:rPr>
        <w:t>receive</w:t>
      </w:r>
      <w:proofErr w:type="gramEnd"/>
      <w:r w:rsidRPr="00863B82">
        <w:rPr>
          <w:rFonts w:ascii="Sakkal Majalla" w:hAnsi="Sakkal Majalla" w:cs="Sakkal Majalla"/>
          <w:color w:val="000000" w:themeColor="text1"/>
          <w:sz w:val="32"/>
          <w:szCs w:val="32"/>
        </w:rPr>
        <w:t xml:space="preserve"> weekly visits, and other rights guaranteed by law.</w:t>
      </w:r>
    </w:p>
    <w:p w14:paraId="4133FFB0"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lastRenderedPageBreak/>
        <w:t>A Memorandum of Understanding was also signed between the Ministry of Interior and the International Committee of the Red Cross (ICRC), under which the ICRC is permitted to visit prisons and detention centers. The ICRC has additionally conducted training courses for Ministry of Interior personnel on human rights and international humanitarian law, with the aim of enhancing their skills and promoting a culture of human rights.</w:t>
      </w:r>
    </w:p>
    <w:p w14:paraId="02E4DAAF"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 xml:space="preserve">In addition, Bahrain implements alternative sentencing, a national and progressive project aimed at the social rehabilitation of offenders and reducing the negative effects of imprisonment by providing beneficiaries with educational, rehabilitative, and training programs. This is based on Law No. (18) of 2017 on Alternative Sentencing and Measures. Bahrain also implements the Open Prison Program, which constitutes one of the alternative sentencing mechanisms and aims to integrate convicted individuals into society while </w:t>
      </w:r>
      <w:proofErr w:type="gramStart"/>
      <w:r w:rsidRPr="00863B82">
        <w:rPr>
          <w:rFonts w:ascii="Sakkal Majalla" w:hAnsi="Sakkal Majalla" w:cs="Sakkal Majalla"/>
          <w:color w:val="000000" w:themeColor="text1"/>
          <w:sz w:val="32"/>
          <w:szCs w:val="32"/>
        </w:rPr>
        <w:t>taking into account</w:t>
      </w:r>
      <w:proofErr w:type="gramEnd"/>
      <w:r w:rsidRPr="00863B82">
        <w:rPr>
          <w:rFonts w:ascii="Sakkal Majalla" w:hAnsi="Sakkal Majalla" w:cs="Sakkal Majalla"/>
          <w:color w:val="000000" w:themeColor="text1"/>
          <w:sz w:val="32"/>
          <w:szCs w:val="32"/>
        </w:rPr>
        <w:t xml:space="preserve"> their social and humanitarian circumstances.</w:t>
      </w:r>
    </w:p>
    <w:p w14:paraId="20A61397"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On the legislative front, Law No. (6) of 2024, amending certain provisions of the Law on the Correction and Rehabilitation Institution, was issued as part of the Kingdom’s ongoing national efforts to strengthen and protect human rights—particularly the rights of inmates and pre-trial detainees. This legislative step expanded the categories of individuals permitted to visit inmates and enhanced healthcare provisions by placing them under the supervision of public health institutions.</w:t>
      </w:r>
    </w:p>
    <w:p w14:paraId="1E4A3B30"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Furthermore, Minister of Interior Resolution No. (49) of 2024, amending certain provisions of Resolution No. (31) of 2015 regarding the Executive Regulations of the Correction and Rehabilitation Institution Law, reaffirmed these legislative amendments and broadened the time allocated for inmates and pre-trial detainees to engage in physical exercise to not less than two hours daily.</w:t>
      </w:r>
    </w:p>
    <w:p w14:paraId="003B8822" w14:textId="7A55E01B" w:rsidR="00EE66D5" w:rsidRPr="00863B82" w:rsidRDefault="00EE66D5" w:rsidP="0085624E">
      <w:pPr>
        <w:bidi w:val="0"/>
        <w:jc w:val="lowKashida"/>
        <w:rPr>
          <w:rFonts w:ascii="Sakkal Majalla" w:hAnsi="Sakkal Majalla" w:cs="Sakkal Majalla"/>
          <w:color w:val="000000" w:themeColor="text1"/>
          <w:sz w:val="32"/>
          <w:szCs w:val="32"/>
          <w:rtl/>
        </w:rPr>
      </w:pPr>
      <w:r w:rsidRPr="00863B82">
        <w:rPr>
          <w:rFonts w:ascii="Sakkal Majalla" w:hAnsi="Sakkal Majalla" w:cs="Sakkal Majalla"/>
          <w:color w:val="000000" w:themeColor="text1"/>
          <w:sz w:val="32"/>
          <w:szCs w:val="32"/>
        </w:rPr>
        <w:lastRenderedPageBreak/>
        <w:t>It is noteworthy that the General Directorate of Reform and Rehabilitation obtained American Correctional Association (ACA) accreditation in 2023 after meeting international quality requirements and all globally recognized standards related to human rights in correctional and rehabilitation facilities.</w:t>
      </w:r>
    </w:p>
    <w:p w14:paraId="06E2284B" w14:textId="77777777" w:rsidR="00EE66D5" w:rsidRPr="00863B82" w:rsidRDefault="00EE66D5" w:rsidP="0085624E">
      <w:p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The Ministry of Interior affirms its respect for all the rights of pre-trial detainees and inmates, regardless of their cases, nationalities, or religions, without any discrimination. A set of rights is guaranteed without exception, as outlined below:</w:t>
      </w:r>
    </w:p>
    <w:p w14:paraId="2D30719B"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Social Rights: Ensuring communication with their families, relatives, and the embassies of their respective countries. Communication may take place through video calls or in-person visits in accordance with the regulations of the center.</w:t>
      </w:r>
    </w:p>
    <w:p w14:paraId="36831D8B"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Religious Rights: Enabling all pre-trial detainees and inmates to practice their religious rituals in accordance with the rules in force at the center and the institutional regulations of the correctional facility.</w:t>
      </w:r>
    </w:p>
    <w:p w14:paraId="5F112AB5"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 xml:space="preserve">Psychological Care: Providing psychological follow-up by the center’s psychiatrist for pre-trial detainees and </w:t>
      </w:r>
      <w:proofErr w:type="gramStart"/>
      <w:r w:rsidRPr="00863B82">
        <w:rPr>
          <w:rFonts w:ascii="Sakkal Majalla" w:hAnsi="Sakkal Majalla" w:cs="Sakkal Majalla"/>
          <w:color w:val="000000" w:themeColor="text1"/>
          <w:sz w:val="32"/>
          <w:szCs w:val="32"/>
        </w:rPr>
        <w:t>inmates, and</w:t>
      </w:r>
      <w:proofErr w:type="gramEnd"/>
      <w:r w:rsidRPr="00863B82">
        <w:rPr>
          <w:rFonts w:ascii="Sakkal Majalla" w:hAnsi="Sakkal Majalla" w:cs="Sakkal Majalla"/>
          <w:color w:val="000000" w:themeColor="text1"/>
          <w:sz w:val="32"/>
          <w:szCs w:val="32"/>
        </w:rPr>
        <w:t xml:space="preserve"> connecting them with the outside world through access to news and daily newspapers in various languages.</w:t>
      </w:r>
    </w:p>
    <w:p w14:paraId="30A055BF"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Healthcare: Coordinating with public hospitals, with a 24-hour clinic available at the center staffed by medical personnel dedicated to pre-trial detainees and inmates. Comprehensive preventive and curative healthcare services are provided, including early detection of illnesses, psychological care, and the administration of necessary vaccinations—upon the inmate’s request—to prevent infectious and communicable diseases.</w:t>
      </w:r>
    </w:p>
    <w:p w14:paraId="12063AC2"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lastRenderedPageBreak/>
        <w:t>Rehabilitation and Reform: Offering sports activities and dedicated time for library reading, computer use, handicrafts, and other modern educational and vocational activities that contribute to the rehabilitation of pre-trial detainees and inmates.</w:t>
      </w:r>
    </w:p>
    <w:p w14:paraId="1408EB10"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Nutrition: Meals are provided by a specialized catering company that ensures balanced nutrition for detainees and inmates, while also providing medically tailored meals for those with specific health needs, supported by consultations from a nutrition specialist.</w:t>
      </w:r>
    </w:p>
    <w:p w14:paraId="352E7C56"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Pr>
      </w:pPr>
      <w:r w:rsidRPr="00863B82">
        <w:rPr>
          <w:rFonts w:ascii="Sakkal Majalla" w:hAnsi="Sakkal Majalla" w:cs="Sakkal Majalla"/>
          <w:color w:val="000000" w:themeColor="text1"/>
          <w:sz w:val="32"/>
          <w:szCs w:val="32"/>
        </w:rPr>
        <w:t>Complaints Mechanism: Complaint boxes are available to enable inmates to submit any concerns or grievances.</w:t>
      </w:r>
    </w:p>
    <w:p w14:paraId="5364B992" w14:textId="77777777" w:rsidR="00EE66D5" w:rsidRPr="00863B82" w:rsidRDefault="00EE66D5" w:rsidP="0085624E">
      <w:pPr>
        <w:numPr>
          <w:ilvl w:val="0"/>
          <w:numId w:val="21"/>
        </w:numPr>
        <w:bidi w:val="0"/>
        <w:jc w:val="lowKashida"/>
        <w:rPr>
          <w:rFonts w:ascii="Sakkal Majalla" w:hAnsi="Sakkal Majalla" w:cs="Sakkal Majalla"/>
          <w:color w:val="000000" w:themeColor="text1"/>
          <w:sz w:val="32"/>
          <w:szCs w:val="32"/>
          <w:rtl/>
        </w:rPr>
      </w:pPr>
      <w:r w:rsidRPr="00863B82">
        <w:rPr>
          <w:rFonts w:ascii="Sakkal Majalla" w:hAnsi="Sakkal Majalla" w:cs="Sakkal Majalla"/>
          <w:color w:val="000000" w:themeColor="text1"/>
          <w:sz w:val="32"/>
          <w:szCs w:val="32"/>
        </w:rPr>
        <w:t>Participation in Events: Inmates are allowed to participate in national celebrations, holidays, and various activities.</w:t>
      </w:r>
    </w:p>
    <w:p w14:paraId="5A2FF712" w14:textId="77777777" w:rsidR="00EE66D5" w:rsidRPr="00863B82" w:rsidRDefault="00EE66D5" w:rsidP="0085624E">
      <w:pPr>
        <w:bidi w:val="0"/>
        <w:jc w:val="lowKashida"/>
        <w:rPr>
          <w:rFonts w:ascii="Sakkal Majalla" w:hAnsi="Sakkal Majalla" w:cs="Sakkal Majalla"/>
          <w:sz w:val="32"/>
          <w:szCs w:val="32"/>
        </w:rPr>
      </w:pP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daily living conditions, the national legal and regulatory framework obliges the administration of correctional and rehabilitation centers to provide:</w:t>
      </w:r>
    </w:p>
    <w:p w14:paraId="7D264FFE" w14:textId="77777777" w:rsidR="00EE66D5" w:rsidRPr="00863B82" w:rsidRDefault="00EE66D5" w:rsidP="0085624E">
      <w:pPr>
        <w:numPr>
          <w:ilvl w:val="0"/>
          <w:numId w:val="22"/>
        </w:numPr>
        <w:bidi w:val="0"/>
        <w:jc w:val="lowKashida"/>
        <w:rPr>
          <w:rFonts w:ascii="Sakkal Majalla" w:hAnsi="Sakkal Majalla" w:cs="Sakkal Majalla"/>
          <w:sz w:val="32"/>
          <w:szCs w:val="32"/>
        </w:rPr>
      </w:pPr>
      <w:r w:rsidRPr="00863B82">
        <w:rPr>
          <w:rFonts w:ascii="Sakkal Majalla" w:hAnsi="Sakkal Majalla" w:cs="Sakkal Majalla"/>
          <w:sz w:val="32"/>
          <w:szCs w:val="32"/>
        </w:rPr>
        <w:t>Rooms and dormitories that meet the minimum space requirements per inmate.</w:t>
      </w:r>
    </w:p>
    <w:p w14:paraId="41D7B70A" w14:textId="77777777" w:rsidR="00EE66D5" w:rsidRPr="00863B82" w:rsidRDefault="00EE66D5" w:rsidP="0085624E">
      <w:pPr>
        <w:numPr>
          <w:ilvl w:val="0"/>
          <w:numId w:val="22"/>
        </w:numPr>
        <w:bidi w:val="0"/>
        <w:jc w:val="lowKashida"/>
        <w:rPr>
          <w:rFonts w:ascii="Sakkal Majalla" w:hAnsi="Sakkal Majalla" w:cs="Sakkal Majalla"/>
          <w:sz w:val="32"/>
          <w:szCs w:val="32"/>
        </w:rPr>
      </w:pPr>
      <w:r w:rsidRPr="00863B82">
        <w:rPr>
          <w:rFonts w:ascii="Sakkal Majalla" w:hAnsi="Sakkal Majalla" w:cs="Sakkal Majalla"/>
          <w:sz w:val="32"/>
          <w:szCs w:val="32"/>
        </w:rPr>
        <w:t>Balanced and hygienically supervised meals, consisting of three daily meals (breakfast, lunch, and dinner). These meals are varied, sufficient, and include a daily source of animal protein. Special meals are also provided for vegetarian inmates, those with medical conditions requiring specific diets, or according to the inmate’s religious dietary requirements.</w:t>
      </w:r>
    </w:p>
    <w:p w14:paraId="0B95C68A" w14:textId="77777777" w:rsidR="00EE66D5" w:rsidRPr="00863B82" w:rsidRDefault="00EE66D5" w:rsidP="0085624E">
      <w:pPr>
        <w:numPr>
          <w:ilvl w:val="0"/>
          <w:numId w:val="22"/>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Clean drinking water available </w:t>
      </w:r>
      <w:proofErr w:type="gramStart"/>
      <w:r w:rsidRPr="00863B82">
        <w:rPr>
          <w:rFonts w:ascii="Sakkal Majalla" w:hAnsi="Sakkal Majalla" w:cs="Sakkal Majalla"/>
          <w:sz w:val="32"/>
          <w:szCs w:val="32"/>
        </w:rPr>
        <w:t>at all times</w:t>
      </w:r>
      <w:proofErr w:type="gramEnd"/>
      <w:r w:rsidRPr="00863B82">
        <w:rPr>
          <w:rFonts w:ascii="Sakkal Majalla" w:hAnsi="Sakkal Majalla" w:cs="Sakkal Majalla"/>
          <w:sz w:val="32"/>
          <w:szCs w:val="32"/>
        </w:rPr>
        <w:t>, along with the provision of personal hygiene necessities.</w:t>
      </w:r>
    </w:p>
    <w:p w14:paraId="0BEE4FB0" w14:textId="77777777" w:rsidR="00EE66D5" w:rsidRPr="00863B82" w:rsidRDefault="00EE66D5" w:rsidP="0085624E">
      <w:pPr>
        <w:numPr>
          <w:ilvl w:val="0"/>
          <w:numId w:val="22"/>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Opportunities for inmates to practice sports in designated yards for no less than two hours daily, in accordance with the amendments introduced by Ministerial Resolution No. (49) </w:t>
      </w:r>
      <w:r w:rsidRPr="00863B82">
        <w:rPr>
          <w:rFonts w:ascii="Sakkal Majalla" w:hAnsi="Sakkal Majalla" w:cs="Sakkal Majalla"/>
          <w:sz w:val="32"/>
          <w:szCs w:val="32"/>
        </w:rPr>
        <w:lastRenderedPageBreak/>
        <w:t>of 2024, which expanded the scope of exercise, ventilation, and exposure to sunlight, in line with the Nelson Mandela Rules for the Treatment of Prisoners.</w:t>
      </w:r>
    </w:p>
    <w:p w14:paraId="5073C537" w14:textId="77777777" w:rsidR="00EE66D5" w:rsidRPr="00863B82" w:rsidRDefault="00EE66D5"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It has also been emphasized that inmates’ rights include: the right to communicate with their families (through telephone calls and organized visits), the right to file complaints with oversight and judicial bodies, the right to access information regarding sentence duration and avenues for appeal, and the right to legal assistance. Collectively, these elements constitute what can be described as the “daily rights basket,” reflecting the standard of care accorded to inmates’ living conditions.</w:t>
      </w:r>
    </w:p>
    <w:p w14:paraId="0461A441"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Second: Oversight of Living Conditions and Visits by Independent Bodies</w:t>
      </w:r>
    </w:p>
    <w:p w14:paraId="30E6F9D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protection of inmates’ dignity is not limited to legal provisions; it is reinforced by the presence of an independent oversight system, most notably:</w:t>
      </w:r>
    </w:p>
    <w:p w14:paraId="280BE86E" w14:textId="77777777" w:rsidR="00EE66D5" w:rsidRPr="00863B82" w:rsidRDefault="00EE66D5" w:rsidP="0085624E">
      <w:pPr>
        <w:numPr>
          <w:ilvl w:val="0"/>
          <w:numId w:val="23"/>
        </w:numPr>
        <w:bidi w:val="0"/>
        <w:jc w:val="lowKashida"/>
        <w:rPr>
          <w:rFonts w:ascii="Sakkal Majalla" w:hAnsi="Sakkal Majalla" w:cs="Sakkal Majalla"/>
          <w:sz w:val="32"/>
          <w:szCs w:val="32"/>
        </w:rPr>
      </w:pPr>
      <w:r w:rsidRPr="00863B82">
        <w:rPr>
          <w:rFonts w:ascii="Sakkal Majalla" w:hAnsi="Sakkal Majalla" w:cs="Sakkal Majalla"/>
          <w:sz w:val="32"/>
          <w:szCs w:val="32"/>
        </w:rPr>
        <w:t>The Ombudsman’s Office, an independent oversight mechanism that receives inmate complaints and conducts regular visits to correctional and rehabilitation centers.</w:t>
      </w:r>
    </w:p>
    <w:p w14:paraId="6BE07B55" w14:textId="77777777" w:rsidR="00EE66D5" w:rsidRPr="00863B82" w:rsidRDefault="00EE66D5" w:rsidP="0085624E">
      <w:pPr>
        <w:numPr>
          <w:ilvl w:val="0"/>
          <w:numId w:val="23"/>
        </w:numPr>
        <w:bidi w:val="0"/>
        <w:jc w:val="lowKashida"/>
        <w:rPr>
          <w:rFonts w:ascii="Sakkal Majalla" w:hAnsi="Sakkal Majalla" w:cs="Sakkal Majalla"/>
          <w:sz w:val="32"/>
          <w:szCs w:val="32"/>
        </w:rPr>
      </w:pPr>
      <w:r w:rsidRPr="00863B82">
        <w:rPr>
          <w:rFonts w:ascii="Sakkal Majalla" w:hAnsi="Sakkal Majalla" w:cs="Sakkal Majalla"/>
          <w:sz w:val="32"/>
          <w:szCs w:val="32"/>
        </w:rPr>
        <w:t>The Prisoners and Detainees Rights Commission (PDRC), a preventive mechanism aligned with the principles of the Optional Protocol to the Convention against Torture, with the authority to conduct both announced and unannounced visits to all places of detention.</w:t>
      </w:r>
    </w:p>
    <w:p w14:paraId="1DE84EA3" w14:textId="77777777" w:rsidR="00EE66D5" w:rsidRPr="00863B82" w:rsidRDefault="00EE66D5" w:rsidP="0085624E">
      <w:pPr>
        <w:numPr>
          <w:ilvl w:val="0"/>
          <w:numId w:val="23"/>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National Institution for Human Rights (NIHR), which includes within its </w:t>
      </w:r>
      <w:proofErr w:type="gramStart"/>
      <w:r w:rsidRPr="00863B82">
        <w:rPr>
          <w:rFonts w:ascii="Sakkal Majalla" w:hAnsi="Sakkal Majalla" w:cs="Sakkal Majalla"/>
          <w:sz w:val="32"/>
          <w:szCs w:val="32"/>
        </w:rPr>
        <w:t>mandate</w:t>
      </w:r>
      <w:proofErr w:type="gramEnd"/>
      <w:r w:rsidRPr="00863B82">
        <w:rPr>
          <w:rFonts w:ascii="Sakkal Majalla" w:hAnsi="Sakkal Majalla" w:cs="Sakkal Majalla"/>
          <w:sz w:val="32"/>
          <w:szCs w:val="32"/>
        </w:rPr>
        <w:t xml:space="preserve"> the authority to visit places of detention and issue public annual reports.</w:t>
      </w:r>
    </w:p>
    <w:p w14:paraId="741D8646" w14:textId="77777777" w:rsidR="00EE66D5" w:rsidRPr="00863B82" w:rsidRDefault="00EE66D5" w:rsidP="0085624E">
      <w:pPr>
        <w:numPr>
          <w:ilvl w:val="0"/>
          <w:numId w:val="23"/>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International Committee of the Red Cross (ICRC) and accredited foreign embassies in the Kingdom, all of which conducted repeated visits to correctional and rehabilitation </w:t>
      </w:r>
      <w:r w:rsidRPr="00863B82">
        <w:rPr>
          <w:rFonts w:ascii="Sakkal Majalla" w:hAnsi="Sakkal Majalla" w:cs="Sakkal Majalla"/>
          <w:sz w:val="32"/>
          <w:szCs w:val="32"/>
        </w:rPr>
        <w:lastRenderedPageBreak/>
        <w:t>centers between 2022 and 2025—forming part of more than 430–460 oversight and supervisory visits to correctional centers and pre-trial detention facilities.</w:t>
      </w:r>
    </w:p>
    <w:p w14:paraId="2BB51B13"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volume of visits—by both independent national bodies and international entities—reflects a high degree of openness and willingness to allow external oversight of prison environments and inmate conditions.</w:t>
      </w:r>
    </w:p>
    <w:p w14:paraId="5DDC7441"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Third: Comprehensive Healthcare for Inmates</w:t>
      </w:r>
    </w:p>
    <w:p w14:paraId="6D64BEF9"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healthcare system for inmates has undergone a significant transformation since the decision in September 2022 to transfer supervision of healthcare services in correctional and rehabilitation centers to public hospitals. As a result, these services became part of the national healthcare system and are now subject to the same professional and regulatory standards applied to all citizens. Article (28) of Law No. (6) of 2024 reaffirmed this by stipulating that public health institutions shall provide free healthcare to inmates and pre-trial detainees, in coordination with the Correction and Rehabilitation Institution—upholding the principle of equal access to healthcare and non-discrimination based on a person’s legal status.</w:t>
      </w:r>
    </w:p>
    <w:p w14:paraId="4CFF3CB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shift strengthened the independence of medical decision-making, ensuring it is free from any external influence or interference. Public hospitals have allocated a budget of approximately USD 2.7 million to enhance healthcare services inside the centers, appoint new management, increase medical and administrative staff, and redesign the healthcare delivery system.</w:t>
      </w:r>
    </w:p>
    <w:p w14:paraId="76C9CFE3"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Government Hospitals have established a dedicated department within their organizational structure, reporting directly to the Chief Executive Officer, with its own separate workforce. This workforce includes general practitioners with no less than five years of experience, consultants, psychiatrists, dentists, nurses, pharmacists, physiotherapists, and social workers. All staff hold qualifications in their respective fields and are licensed by the National Health Regulatory </w:t>
      </w:r>
      <w:r w:rsidRPr="00863B82">
        <w:rPr>
          <w:rFonts w:ascii="Sakkal Majalla" w:hAnsi="Sakkal Majalla" w:cs="Sakkal Majalla"/>
          <w:sz w:val="32"/>
          <w:szCs w:val="32"/>
        </w:rPr>
        <w:lastRenderedPageBreak/>
        <w:t>Authority (NHRA). They are also required to complete CPR training and continuous medical education hours as a condition for renewing their licenses</w:t>
      </w:r>
      <w:r w:rsidRPr="00863B82">
        <w:rPr>
          <w:rFonts w:ascii="Sakkal Majalla" w:hAnsi="Sakkal Majalla" w:cs="Sakkal Majalla"/>
          <w:sz w:val="32"/>
          <w:szCs w:val="32"/>
          <w:rtl/>
        </w:rPr>
        <w:t>.</w:t>
      </w:r>
    </w:p>
    <w:p w14:paraId="37391E4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Correctional and rehabilitation centers are additionally supported by specialist consultants in various medical fields according to the needs of each inmate</w:t>
      </w:r>
      <w:r w:rsidRPr="00863B82">
        <w:rPr>
          <w:rFonts w:ascii="Sakkal Majalla" w:hAnsi="Sakkal Majalla" w:cs="Sakkal Majalla"/>
          <w:sz w:val="32"/>
          <w:szCs w:val="32"/>
          <w:rtl/>
        </w:rPr>
        <w:t>.</w:t>
      </w:r>
    </w:p>
    <w:p w14:paraId="254AF8A3"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Regarding the question on the role of healthcare staff in cases where an injury is suspected, the Kingdom of Bahrain reaffirms that according to the approved policy such cases are documented and reported to the competent authorities.</w:t>
      </w:r>
    </w:p>
    <w:p w14:paraId="48314833"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Ensuring Access to Healthcare for All Inmates</w:t>
      </w:r>
    </w:p>
    <w:p w14:paraId="25ABB53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Public hospitals have sought to develop an integrated framework guaranteeing that all inmates receive healthcare without discrimination or obstacles. This framework includes:</w:t>
      </w:r>
    </w:p>
    <w:p w14:paraId="47535C37"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1. Expanding Medical Specializations Inside Correctional Centers</w:t>
      </w:r>
    </w:p>
    <w:p w14:paraId="64057907" w14:textId="77777777" w:rsidR="00EE66D5" w:rsidRPr="00863B82" w:rsidRDefault="00EE66D5" w:rsidP="0085624E">
      <w:pPr>
        <w:numPr>
          <w:ilvl w:val="0"/>
          <w:numId w:val="24"/>
        </w:numPr>
        <w:bidi w:val="0"/>
        <w:jc w:val="lowKashida"/>
        <w:rPr>
          <w:rFonts w:ascii="Sakkal Majalla" w:hAnsi="Sakkal Majalla" w:cs="Sakkal Majalla"/>
          <w:sz w:val="32"/>
          <w:szCs w:val="32"/>
        </w:rPr>
      </w:pPr>
      <w:r w:rsidRPr="00863B82">
        <w:rPr>
          <w:rFonts w:ascii="Sakkal Majalla" w:hAnsi="Sakkal Majalla" w:cs="Sakkal Majalla"/>
          <w:sz w:val="32"/>
          <w:szCs w:val="32"/>
        </w:rPr>
        <w:t>Providing specialty clinics (e.g., chronic diseases, infectious diseases).</w:t>
      </w:r>
    </w:p>
    <w:p w14:paraId="4100F396" w14:textId="77777777" w:rsidR="00EE66D5" w:rsidRPr="00863B82" w:rsidRDefault="00EE66D5" w:rsidP="0085624E">
      <w:pPr>
        <w:numPr>
          <w:ilvl w:val="0"/>
          <w:numId w:val="24"/>
        </w:numPr>
        <w:bidi w:val="0"/>
        <w:jc w:val="lowKashida"/>
        <w:rPr>
          <w:rFonts w:ascii="Sakkal Majalla" w:hAnsi="Sakkal Majalla" w:cs="Sakkal Majalla"/>
          <w:sz w:val="32"/>
          <w:szCs w:val="32"/>
        </w:rPr>
      </w:pPr>
      <w:r w:rsidRPr="00863B82">
        <w:rPr>
          <w:rFonts w:ascii="Sakkal Majalla" w:hAnsi="Sakkal Majalla" w:cs="Sakkal Majalla"/>
          <w:sz w:val="32"/>
          <w:szCs w:val="32"/>
        </w:rPr>
        <w:t>Opening clinics inside inmate buildings, with medical teams circulating to facilitate access.</w:t>
      </w:r>
    </w:p>
    <w:p w14:paraId="5C8D8680" w14:textId="77777777" w:rsidR="00EE66D5" w:rsidRPr="00863B82" w:rsidRDefault="00EE66D5" w:rsidP="0085624E">
      <w:pPr>
        <w:numPr>
          <w:ilvl w:val="0"/>
          <w:numId w:val="24"/>
        </w:numPr>
        <w:bidi w:val="0"/>
        <w:jc w:val="lowKashida"/>
        <w:rPr>
          <w:rFonts w:ascii="Sakkal Majalla" w:hAnsi="Sakkal Majalla" w:cs="Sakkal Majalla"/>
          <w:sz w:val="32"/>
          <w:szCs w:val="32"/>
        </w:rPr>
      </w:pPr>
      <w:r w:rsidRPr="00863B82">
        <w:rPr>
          <w:rFonts w:ascii="Sakkal Majalla" w:hAnsi="Sakkal Majalla" w:cs="Sakkal Majalla"/>
          <w:sz w:val="32"/>
          <w:szCs w:val="32"/>
        </w:rPr>
        <w:t>Dispensing medication under nursing supervision to ensure treatment adherence.</w:t>
      </w:r>
    </w:p>
    <w:p w14:paraId="3C6DC181"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2. Organizing Services Within Inmate Housing Areas</w:t>
      </w:r>
    </w:p>
    <w:p w14:paraId="59A54602" w14:textId="77777777" w:rsidR="00EE66D5" w:rsidRPr="00863B82" w:rsidRDefault="00EE66D5" w:rsidP="0085624E">
      <w:pPr>
        <w:numPr>
          <w:ilvl w:val="0"/>
          <w:numId w:val="25"/>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Establishing a clear system for </w:t>
      </w:r>
      <w:proofErr w:type="gramStart"/>
      <w:r w:rsidRPr="00863B82">
        <w:rPr>
          <w:rFonts w:ascii="Sakkal Majalla" w:hAnsi="Sakkal Majalla" w:cs="Sakkal Majalla"/>
          <w:sz w:val="32"/>
          <w:szCs w:val="32"/>
        </w:rPr>
        <w:t>clinic</w:t>
      </w:r>
      <w:proofErr w:type="gramEnd"/>
      <w:r w:rsidRPr="00863B82">
        <w:rPr>
          <w:rFonts w:ascii="Sakkal Majalla" w:hAnsi="Sakkal Majalla" w:cs="Sakkal Majalla"/>
          <w:sz w:val="32"/>
          <w:szCs w:val="32"/>
        </w:rPr>
        <w:t xml:space="preserve"> operations (medication distribution times, wound care, medical service requests).</w:t>
      </w:r>
    </w:p>
    <w:p w14:paraId="347B93E4" w14:textId="77777777" w:rsidR="00EE66D5" w:rsidRPr="00863B82" w:rsidRDefault="00EE66D5" w:rsidP="0085624E">
      <w:pPr>
        <w:numPr>
          <w:ilvl w:val="0"/>
          <w:numId w:val="25"/>
        </w:numPr>
        <w:bidi w:val="0"/>
        <w:jc w:val="lowKashida"/>
        <w:rPr>
          <w:rFonts w:ascii="Sakkal Majalla" w:hAnsi="Sakkal Majalla" w:cs="Sakkal Majalla"/>
          <w:sz w:val="32"/>
          <w:szCs w:val="32"/>
        </w:rPr>
      </w:pPr>
      <w:r w:rsidRPr="00863B82">
        <w:rPr>
          <w:rFonts w:ascii="Sakkal Majalla" w:hAnsi="Sakkal Majalla" w:cs="Sakkal Majalla"/>
          <w:sz w:val="32"/>
          <w:szCs w:val="32"/>
        </w:rPr>
        <w:t>Conducting medical examinations inside inmate buildings without requiring transfer to the central clinic.</w:t>
      </w:r>
    </w:p>
    <w:p w14:paraId="03E57184"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lastRenderedPageBreak/>
        <w:t>3. Providing Additional Healthcare Services</w:t>
      </w:r>
    </w:p>
    <w:p w14:paraId="144086B5"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Psychiatric care and psychological support.</w:t>
      </w:r>
    </w:p>
    <w:p w14:paraId="0A7C989C"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Dental treatment.</w:t>
      </w:r>
    </w:p>
    <w:p w14:paraId="68F75DC1"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Addiction treatment.</w:t>
      </w:r>
    </w:p>
    <w:p w14:paraId="74D4A115"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Telemedicine consultations.</w:t>
      </w:r>
    </w:p>
    <w:p w14:paraId="1C349905"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Early detection screenings and vaccinations.</w:t>
      </w:r>
    </w:p>
    <w:p w14:paraId="28DF07FF"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Physiotherapy.</w:t>
      </w:r>
    </w:p>
    <w:p w14:paraId="0F427770"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Therapeutic nutrition counseling.</w:t>
      </w:r>
    </w:p>
    <w:p w14:paraId="03ECC734"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Social work services.</w:t>
      </w:r>
    </w:p>
    <w:p w14:paraId="2DA2BC41" w14:textId="77777777" w:rsidR="00EE66D5" w:rsidRPr="00863B82" w:rsidRDefault="00EE66D5" w:rsidP="0085624E">
      <w:pPr>
        <w:numPr>
          <w:ilvl w:val="0"/>
          <w:numId w:val="26"/>
        </w:numPr>
        <w:bidi w:val="0"/>
        <w:jc w:val="lowKashida"/>
        <w:rPr>
          <w:rFonts w:ascii="Sakkal Majalla" w:hAnsi="Sakkal Majalla" w:cs="Sakkal Majalla"/>
          <w:sz w:val="32"/>
          <w:szCs w:val="32"/>
        </w:rPr>
      </w:pPr>
      <w:r w:rsidRPr="00863B82">
        <w:rPr>
          <w:rFonts w:ascii="Sakkal Majalla" w:hAnsi="Sakkal Majalla" w:cs="Sakkal Majalla"/>
          <w:sz w:val="32"/>
          <w:szCs w:val="32"/>
        </w:rPr>
        <w:t>Participation in the national hepatitis C treatment program for all eligible inmates.</w:t>
      </w:r>
    </w:p>
    <w:p w14:paraId="571CE374"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 xml:space="preserve">Compliance </w:t>
      </w:r>
      <w:proofErr w:type="gramStart"/>
      <w:r w:rsidRPr="00863B82">
        <w:rPr>
          <w:rFonts w:ascii="Sakkal Majalla" w:hAnsi="Sakkal Majalla" w:cs="Sakkal Majalla"/>
          <w:b/>
          <w:bCs/>
          <w:sz w:val="32"/>
          <w:szCs w:val="32"/>
        </w:rPr>
        <w:t>of</w:t>
      </w:r>
      <w:proofErr w:type="gramEnd"/>
      <w:r w:rsidRPr="00863B82">
        <w:rPr>
          <w:rFonts w:ascii="Sakkal Majalla" w:hAnsi="Sakkal Majalla" w:cs="Sakkal Majalla"/>
          <w:b/>
          <w:bCs/>
          <w:sz w:val="32"/>
          <w:szCs w:val="32"/>
        </w:rPr>
        <w:t xml:space="preserve"> Detention Facilities with Health Standards</w:t>
      </w:r>
    </w:p>
    <w:p w14:paraId="0A4EAAD1" w14:textId="77777777" w:rsidR="00EE66D5" w:rsidRPr="00863B82" w:rsidRDefault="00EE66D5"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Public hospitals work in cooperation with the Ministry of Interior and the Public Health Directorate at the Ministry of Health to ensure that detention facilities meet safe health standards through:</w:t>
      </w:r>
    </w:p>
    <w:p w14:paraId="06FBC6F5"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Periodic Monitoring of Water Quality</w:t>
      </w:r>
    </w:p>
    <w:p w14:paraId="040C4CDF" w14:textId="77777777" w:rsidR="00EE66D5" w:rsidRPr="00863B82" w:rsidRDefault="00EE66D5" w:rsidP="0085624E">
      <w:pPr>
        <w:numPr>
          <w:ilvl w:val="0"/>
          <w:numId w:val="27"/>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Regular inspections conducted by the Infection Control Committee in accordance with the National Guideline and the </w:t>
      </w:r>
      <w:r w:rsidRPr="00863B82">
        <w:rPr>
          <w:rFonts w:ascii="Sakkal Majalla" w:hAnsi="Sakkal Majalla" w:cs="Sakkal Majalla"/>
          <w:i/>
          <w:iCs/>
          <w:sz w:val="32"/>
          <w:szCs w:val="32"/>
        </w:rPr>
        <w:t>GCC Infection Prevention and Control Guideline</w:t>
      </w:r>
      <w:r w:rsidRPr="00863B82">
        <w:rPr>
          <w:rFonts w:ascii="Sakkal Majalla" w:hAnsi="Sakkal Majalla" w:cs="Sakkal Majalla"/>
          <w:sz w:val="32"/>
          <w:szCs w:val="32"/>
        </w:rPr>
        <w:t xml:space="preserve">. These inspections monitor air quality, indoor and outdoor environmental conditions for inmates, oversee laundry services to ensure compliance with health standards, and monitor inmates’ personal hygiene. The Committee issues detailed reports with </w:t>
      </w:r>
      <w:r w:rsidRPr="00863B82">
        <w:rPr>
          <w:rFonts w:ascii="Sakkal Majalla" w:hAnsi="Sakkal Majalla" w:cs="Sakkal Majalla"/>
          <w:sz w:val="32"/>
          <w:szCs w:val="32"/>
        </w:rPr>
        <w:lastRenderedPageBreak/>
        <w:t>recommendations and follows up on their implementation in coordination with the security administration.</w:t>
      </w:r>
    </w:p>
    <w:p w14:paraId="66EDAC66" w14:textId="77777777" w:rsidR="00EE66D5" w:rsidRPr="00863B82" w:rsidRDefault="00EE66D5" w:rsidP="0085624E">
      <w:pPr>
        <w:numPr>
          <w:ilvl w:val="0"/>
          <w:numId w:val="27"/>
        </w:numPr>
        <w:bidi w:val="0"/>
        <w:jc w:val="lowKashida"/>
        <w:rPr>
          <w:rFonts w:ascii="Sakkal Majalla" w:hAnsi="Sakkal Majalla" w:cs="Sakkal Majalla"/>
          <w:sz w:val="32"/>
          <w:szCs w:val="32"/>
        </w:rPr>
      </w:pPr>
      <w:r w:rsidRPr="00863B82">
        <w:rPr>
          <w:rFonts w:ascii="Sakkal Majalla" w:hAnsi="Sakkal Majalla" w:cs="Sakkal Majalla"/>
          <w:sz w:val="32"/>
          <w:szCs w:val="32"/>
        </w:rPr>
        <w:t>Referral of cases requiring follow-up to specialists (psychiatry, dentistry, general health).</w:t>
      </w:r>
    </w:p>
    <w:p w14:paraId="46FBB765" w14:textId="77777777" w:rsidR="00EE66D5" w:rsidRPr="00863B82" w:rsidRDefault="00EE66D5" w:rsidP="0085624E">
      <w:pPr>
        <w:numPr>
          <w:ilvl w:val="0"/>
          <w:numId w:val="27"/>
        </w:numPr>
        <w:bidi w:val="0"/>
        <w:jc w:val="lowKashida"/>
        <w:rPr>
          <w:rFonts w:ascii="Sakkal Majalla" w:hAnsi="Sakkal Majalla" w:cs="Sakkal Majalla"/>
          <w:sz w:val="32"/>
          <w:szCs w:val="32"/>
        </w:rPr>
      </w:pPr>
      <w:r w:rsidRPr="00863B82">
        <w:rPr>
          <w:rFonts w:ascii="Sakkal Majalla" w:hAnsi="Sakkal Majalla" w:cs="Sakkal Majalla"/>
          <w:sz w:val="32"/>
          <w:szCs w:val="32"/>
        </w:rPr>
        <w:t>Control of the spread of dermatological and infectious diseases and the implementation of immediate preventive measures.</w:t>
      </w:r>
    </w:p>
    <w:p w14:paraId="41B77E93" w14:textId="77777777" w:rsidR="00EE66D5" w:rsidRPr="00863B82" w:rsidRDefault="00EE66D5" w:rsidP="0085624E">
      <w:pPr>
        <w:numPr>
          <w:ilvl w:val="0"/>
          <w:numId w:val="27"/>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Ongoing assessment of </w:t>
      </w:r>
      <w:proofErr w:type="gramStart"/>
      <w:r w:rsidRPr="00863B82">
        <w:rPr>
          <w:rFonts w:ascii="Sakkal Majalla" w:hAnsi="Sakkal Majalla" w:cs="Sakkal Majalla"/>
          <w:sz w:val="32"/>
          <w:szCs w:val="32"/>
        </w:rPr>
        <w:t>clinic</w:t>
      </w:r>
      <w:proofErr w:type="gramEnd"/>
      <w:r w:rsidRPr="00863B82">
        <w:rPr>
          <w:rFonts w:ascii="Sakkal Majalla" w:hAnsi="Sakkal Majalla" w:cs="Sakkal Majalla"/>
          <w:sz w:val="32"/>
          <w:szCs w:val="32"/>
        </w:rPr>
        <w:t xml:space="preserve"> readiness and equipment, with periodic reports submitted to the executive management of public hospitals.</w:t>
      </w:r>
    </w:p>
    <w:p w14:paraId="377FA1EC"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Psychological Support and Rehabilitation Programs for Inmates</w:t>
      </w:r>
    </w:p>
    <w:p w14:paraId="3673B061"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Within the framework of the Alternative Sentencing Program, public hospitals participate in implementing the </w:t>
      </w:r>
      <w:r w:rsidRPr="00863B82">
        <w:rPr>
          <w:rFonts w:ascii="Sakkal Majalla" w:hAnsi="Sakkal Majalla" w:cs="Sakkal Majalla"/>
          <w:i/>
          <w:iCs/>
          <w:sz w:val="32"/>
          <w:szCs w:val="32"/>
        </w:rPr>
        <w:t>“Life-Making”</w:t>
      </w:r>
      <w:r w:rsidRPr="00863B82">
        <w:rPr>
          <w:rFonts w:ascii="Sakkal Majalla" w:hAnsi="Sakkal Majalla" w:cs="Sakkal Majalla"/>
          <w:sz w:val="32"/>
          <w:szCs w:val="32"/>
        </w:rPr>
        <w:t xml:space="preserve"> Program, which includes:</w:t>
      </w:r>
    </w:p>
    <w:p w14:paraId="0F424452" w14:textId="77777777" w:rsidR="00EE66D5" w:rsidRPr="00863B82" w:rsidRDefault="00EE66D5" w:rsidP="0085624E">
      <w:pPr>
        <w:numPr>
          <w:ilvl w:val="0"/>
          <w:numId w:val="28"/>
        </w:numPr>
        <w:bidi w:val="0"/>
        <w:jc w:val="lowKashida"/>
        <w:rPr>
          <w:rFonts w:ascii="Sakkal Majalla" w:hAnsi="Sakkal Majalla" w:cs="Sakkal Majalla"/>
          <w:sz w:val="32"/>
          <w:szCs w:val="32"/>
        </w:rPr>
      </w:pPr>
      <w:r w:rsidRPr="00863B82">
        <w:rPr>
          <w:rFonts w:ascii="Sakkal Majalla" w:hAnsi="Sakkal Majalla" w:cs="Sakkal Majalla"/>
          <w:sz w:val="32"/>
          <w:szCs w:val="32"/>
        </w:rPr>
        <w:t>Mental health enhancement sessions.</w:t>
      </w:r>
    </w:p>
    <w:p w14:paraId="7C43B169" w14:textId="77777777" w:rsidR="00EE66D5" w:rsidRPr="00863B82" w:rsidRDefault="00EE66D5" w:rsidP="0085624E">
      <w:pPr>
        <w:numPr>
          <w:ilvl w:val="0"/>
          <w:numId w:val="28"/>
        </w:numPr>
        <w:bidi w:val="0"/>
        <w:jc w:val="lowKashida"/>
        <w:rPr>
          <w:rFonts w:ascii="Sakkal Majalla" w:hAnsi="Sakkal Majalla" w:cs="Sakkal Majalla"/>
          <w:sz w:val="32"/>
          <w:szCs w:val="32"/>
        </w:rPr>
      </w:pPr>
      <w:r w:rsidRPr="00863B82">
        <w:rPr>
          <w:rFonts w:ascii="Sakkal Majalla" w:hAnsi="Sakkal Majalla" w:cs="Sakkal Majalla"/>
          <w:sz w:val="32"/>
          <w:szCs w:val="32"/>
        </w:rPr>
        <w:t>Support for social reintegration.</w:t>
      </w:r>
    </w:p>
    <w:p w14:paraId="4BFA0F1E" w14:textId="77777777" w:rsidR="00EE66D5" w:rsidRPr="00863B82" w:rsidRDefault="00EE66D5" w:rsidP="0085624E">
      <w:pPr>
        <w:numPr>
          <w:ilvl w:val="0"/>
          <w:numId w:val="28"/>
        </w:numPr>
        <w:bidi w:val="0"/>
        <w:jc w:val="lowKashida"/>
        <w:rPr>
          <w:rFonts w:ascii="Sakkal Majalla" w:hAnsi="Sakkal Majalla" w:cs="Sakkal Majalla"/>
          <w:sz w:val="32"/>
          <w:szCs w:val="32"/>
        </w:rPr>
      </w:pPr>
      <w:r w:rsidRPr="00863B82">
        <w:rPr>
          <w:rFonts w:ascii="Sakkal Majalla" w:hAnsi="Sakkal Majalla" w:cs="Sakkal Majalla"/>
          <w:sz w:val="32"/>
          <w:szCs w:val="32"/>
        </w:rPr>
        <w:t>Addiction treatment programs.</w:t>
      </w:r>
    </w:p>
    <w:p w14:paraId="5322C30C" w14:textId="77777777" w:rsidR="00EE66D5" w:rsidRPr="00863B82" w:rsidRDefault="00EE66D5" w:rsidP="0085624E">
      <w:pPr>
        <w:numPr>
          <w:ilvl w:val="0"/>
          <w:numId w:val="28"/>
        </w:numPr>
        <w:bidi w:val="0"/>
        <w:jc w:val="lowKashida"/>
        <w:rPr>
          <w:rFonts w:ascii="Sakkal Majalla" w:hAnsi="Sakkal Majalla" w:cs="Sakkal Majalla"/>
          <w:sz w:val="32"/>
          <w:szCs w:val="32"/>
        </w:rPr>
      </w:pPr>
      <w:r w:rsidRPr="00863B82">
        <w:rPr>
          <w:rFonts w:ascii="Sakkal Majalla" w:hAnsi="Sakkal Majalla" w:cs="Sakkal Majalla"/>
          <w:sz w:val="32"/>
          <w:szCs w:val="32"/>
        </w:rPr>
        <w:t>Preparing inmates medically and psychologically prior to release.</w:t>
      </w:r>
    </w:p>
    <w:p w14:paraId="77A17255"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Follow-up appointments at health centers and public hospitals are scheduled, and adequate supplies of medication are provided until subsequent appointments.</w:t>
      </w:r>
    </w:p>
    <w:p w14:paraId="07AC11F5"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Prevention Standards and Training for Medical Staff in Correctional Clinics, and Emergency Preparedness</w:t>
      </w:r>
    </w:p>
    <w:p w14:paraId="6F3986D8"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Public hospitals ensure that healthcare staff working in detention facilities enjoy full professional independence, and they are required to undergo the most up-to-date training programs aligned with international standards, including mandatory training in:</w:t>
      </w:r>
    </w:p>
    <w:p w14:paraId="0CF6F812"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Cardiopulmonary resuscitation (CPR).</w:t>
      </w:r>
    </w:p>
    <w:p w14:paraId="799777B8"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Infection control.</w:t>
      </w:r>
    </w:p>
    <w:p w14:paraId="42D8BBFD"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Emergency medical care.</w:t>
      </w:r>
    </w:p>
    <w:p w14:paraId="0FB0B35A"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Management of critical and urgent cases.</w:t>
      </w:r>
    </w:p>
    <w:p w14:paraId="08DD4064"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Handling psychological and suicidal cases.</w:t>
      </w:r>
    </w:p>
    <w:p w14:paraId="2AFBF4C0"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Documentation of cases and injuries.</w:t>
      </w:r>
    </w:p>
    <w:p w14:paraId="1EE93AFA" w14:textId="77777777" w:rsidR="00EE66D5" w:rsidRPr="00863B82" w:rsidRDefault="00EE66D5" w:rsidP="0085624E">
      <w:pPr>
        <w:numPr>
          <w:ilvl w:val="0"/>
          <w:numId w:val="29"/>
        </w:numPr>
        <w:bidi w:val="0"/>
        <w:jc w:val="lowKashida"/>
        <w:rPr>
          <w:rFonts w:ascii="Sakkal Majalla" w:hAnsi="Sakkal Majalla" w:cs="Sakkal Majalla"/>
          <w:sz w:val="32"/>
          <w:szCs w:val="32"/>
        </w:rPr>
      </w:pPr>
      <w:r w:rsidRPr="00863B82">
        <w:rPr>
          <w:rFonts w:ascii="Sakkal Majalla" w:hAnsi="Sakkal Majalla" w:cs="Sakkal Majalla"/>
          <w:sz w:val="32"/>
          <w:szCs w:val="32"/>
        </w:rPr>
        <w:t>Ethical principles in detention environments.</w:t>
      </w:r>
    </w:p>
    <w:p w14:paraId="7488386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Fully equipped ambulances are available inside Jau Center and positioned near other centers to ensure immediate emergency response without any involvement from security personnel.</w:t>
      </w:r>
    </w:p>
    <w:p w14:paraId="28E88802"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Hunger Strikes</w:t>
      </w:r>
    </w:p>
    <w:p w14:paraId="7BB67E61"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Public hospitals apply a clear medical policy—reviewed in cooperation with the Bahrain Red Crescent Society—which includes:</w:t>
      </w:r>
    </w:p>
    <w:p w14:paraId="231B3E49" w14:textId="77777777" w:rsidR="00EE66D5" w:rsidRPr="00863B82" w:rsidRDefault="00EE66D5" w:rsidP="0085624E">
      <w:pPr>
        <w:numPr>
          <w:ilvl w:val="0"/>
          <w:numId w:val="30"/>
        </w:numPr>
        <w:bidi w:val="0"/>
        <w:jc w:val="lowKashida"/>
        <w:rPr>
          <w:rFonts w:ascii="Sakkal Majalla" w:hAnsi="Sakkal Majalla" w:cs="Sakkal Majalla"/>
          <w:sz w:val="32"/>
          <w:szCs w:val="32"/>
        </w:rPr>
      </w:pPr>
      <w:r w:rsidRPr="00863B82">
        <w:rPr>
          <w:rFonts w:ascii="Sakkal Majalla" w:hAnsi="Sakkal Majalla" w:cs="Sakkal Majalla"/>
          <w:sz w:val="32"/>
          <w:szCs w:val="32"/>
        </w:rPr>
        <w:t>Daily monitoring of vital signs.</w:t>
      </w:r>
    </w:p>
    <w:p w14:paraId="6731317C" w14:textId="77777777" w:rsidR="00EE66D5" w:rsidRPr="00863B82" w:rsidRDefault="00EE66D5" w:rsidP="0085624E">
      <w:pPr>
        <w:numPr>
          <w:ilvl w:val="0"/>
          <w:numId w:val="30"/>
        </w:numPr>
        <w:bidi w:val="0"/>
        <w:jc w:val="lowKashida"/>
        <w:rPr>
          <w:rFonts w:ascii="Sakkal Majalla" w:hAnsi="Sakkal Majalla" w:cs="Sakkal Majalla"/>
          <w:sz w:val="32"/>
          <w:szCs w:val="32"/>
        </w:rPr>
      </w:pPr>
      <w:r w:rsidRPr="00863B82">
        <w:rPr>
          <w:rFonts w:ascii="Sakkal Majalla" w:hAnsi="Sakkal Majalla" w:cs="Sakkal Majalla"/>
          <w:sz w:val="32"/>
          <w:szCs w:val="32"/>
        </w:rPr>
        <w:t>Regular laboratory tests.</w:t>
      </w:r>
    </w:p>
    <w:p w14:paraId="65446060" w14:textId="77777777" w:rsidR="00EE66D5" w:rsidRPr="00863B82" w:rsidRDefault="00EE66D5" w:rsidP="0085624E">
      <w:pPr>
        <w:numPr>
          <w:ilvl w:val="0"/>
          <w:numId w:val="30"/>
        </w:numPr>
        <w:bidi w:val="0"/>
        <w:jc w:val="lowKashida"/>
        <w:rPr>
          <w:rFonts w:ascii="Sakkal Majalla" w:hAnsi="Sakkal Majalla" w:cs="Sakkal Majalla"/>
          <w:sz w:val="32"/>
          <w:szCs w:val="32"/>
        </w:rPr>
      </w:pPr>
      <w:r w:rsidRPr="00863B82">
        <w:rPr>
          <w:rFonts w:ascii="Sakkal Majalla" w:hAnsi="Sakkal Majalla" w:cs="Sakkal Majalla"/>
          <w:sz w:val="32"/>
          <w:szCs w:val="32"/>
        </w:rPr>
        <w:t>Adjusting medications as needed.</w:t>
      </w:r>
    </w:p>
    <w:p w14:paraId="0B322629" w14:textId="77777777" w:rsidR="00EE66D5" w:rsidRPr="00863B82" w:rsidRDefault="00EE66D5" w:rsidP="0085624E">
      <w:pPr>
        <w:numPr>
          <w:ilvl w:val="0"/>
          <w:numId w:val="30"/>
        </w:numPr>
        <w:bidi w:val="0"/>
        <w:jc w:val="lowKashida"/>
        <w:rPr>
          <w:rFonts w:ascii="Sakkal Majalla" w:hAnsi="Sakkal Majalla" w:cs="Sakkal Majalla"/>
          <w:sz w:val="32"/>
          <w:szCs w:val="32"/>
        </w:rPr>
      </w:pPr>
      <w:r w:rsidRPr="00863B82">
        <w:rPr>
          <w:rFonts w:ascii="Sakkal Majalla" w:hAnsi="Sakkal Majalla" w:cs="Sakkal Majalla"/>
          <w:sz w:val="32"/>
          <w:szCs w:val="32"/>
        </w:rPr>
        <w:t>Providing intravenous nutrition when necessary.</w:t>
      </w:r>
    </w:p>
    <w:p w14:paraId="1DEE99DC" w14:textId="77777777" w:rsidR="00EE66D5" w:rsidRPr="00863B82" w:rsidRDefault="00EE66D5" w:rsidP="0085624E">
      <w:pPr>
        <w:numPr>
          <w:ilvl w:val="0"/>
          <w:numId w:val="30"/>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 xml:space="preserve">Offering psychological support </w:t>
      </w:r>
      <w:proofErr w:type="gramStart"/>
      <w:r w:rsidRPr="00863B82">
        <w:rPr>
          <w:rFonts w:ascii="Sakkal Majalla" w:hAnsi="Sakkal Majalla" w:cs="Sakkal Majalla"/>
          <w:sz w:val="32"/>
          <w:szCs w:val="32"/>
        </w:rPr>
        <w:t>by</w:t>
      </w:r>
      <w:proofErr w:type="gramEnd"/>
      <w:r w:rsidRPr="00863B82">
        <w:rPr>
          <w:rFonts w:ascii="Sakkal Majalla" w:hAnsi="Sakkal Majalla" w:cs="Sakkal Majalla"/>
          <w:sz w:val="32"/>
          <w:szCs w:val="32"/>
        </w:rPr>
        <w:t xml:space="preserve"> specialists.</w:t>
      </w:r>
    </w:p>
    <w:p w14:paraId="659151C7" w14:textId="77777777" w:rsidR="00EE66D5" w:rsidRPr="00863B82" w:rsidRDefault="00EE66D5" w:rsidP="0085624E">
      <w:pPr>
        <w:pStyle w:val="NormalWeb"/>
        <w:spacing w:line="276" w:lineRule="auto"/>
        <w:jc w:val="lowKashida"/>
        <w:rPr>
          <w:rFonts w:ascii="Sakkal Majalla" w:eastAsiaTheme="minorEastAsia" w:hAnsi="Sakkal Majalla" w:cs="Sakkal Majalla"/>
          <w:sz w:val="32"/>
          <w:szCs w:val="32"/>
        </w:rPr>
      </w:pPr>
      <w:r w:rsidRPr="00863B82">
        <w:rPr>
          <w:rFonts w:ascii="Sakkal Majalla" w:eastAsiaTheme="minorEastAsia" w:hAnsi="Sakkal Majalla" w:cs="Sakkal Majalla"/>
          <w:b/>
          <w:bCs/>
          <w:sz w:val="32"/>
          <w:szCs w:val="32"/>
        </w:rPr>
        <w:t>Mental Health Services:</w:t>
      </w:r>
    </w:p>
    <w:p w14:paraId="12FB3CBA" w14:textId="77777777" w:rsidR="00EE66D5" w:rsidRPr="00863B82" w:rsidRDefault="00EE66D5" w:rsidP="0085624E">
      <w:pPr>
        <w:pStyle w:val="NormalWeb"/>
        <w:spacing w:line="276" w:lineRule="auto"/>
        <w:jc w:val="lowKashida"/>
        <w:rPr>
          <w:rFonts w:ascii="Sakkal Majalla" w:eastAsiaTheme="minorEastAsia" w:hAnsi="Sakkal Majalla" w:cs="Sakkal Majalla"/>
          <w:sz w:val="32"/>
          <w:szCs w:val="32"/>
        </w:rPr>
      </w:pPr>
      <w:r w:rsidRPr="00863B82">
        <w:rPr>
          <w:rFonts w:ascii="Sakkal Majalla" w:eastAsiaTheme="minorEastAsia" w:hAnsi="Sakkal Majalla" w:cs="Sakkal Majalla"/>
          <w:sz w:val="32"/>
          <w:szCs w:val="32"/>
        </w:rPr>
        <w:t>The Psychiatric Hospital has been transferred under the umbrella of the Government Hospitals system, which ensured that it was subjected to inspection by the National Health Regulatory Authority (NHRA), an independent oversight body. Following its compliance with all licensing requirements and standards, the hospital was granted an official license. Government Hospitals also ensured that the facility underwent the national accreditation process, during which it received a comprehensive evaluation and subsequently obtained the Platinum Level Accreditation. Psychiatrists at the hospital hold accredited residency-level board qualifications, in addition to subspecialty training obtained abroad in fields such as child psychiatry and forensic psychiatry. They fall under the Civil Service Bureau, ensuring that their grades and salaries are aligned with those of other medical specialties.</w:t>
      </w:r>
    </w:p>
    <w:p w14:paraId="4B556198" w14:textId="77777777" w:rsidR="00EE66D5" w:rsidRPr="00863B82" w:rsidRDefault="00EE66D5" w:rsidP="0085624E">
      <w:pPr>
        <w:pStyle w:val="NormalWeb"/>
        <w:spacing w:line="276" w:lineRule="auto"/>
        <w:jc w:val="lowKashida"/>
        <w:rPr>
          <w:rFonts w:ascii="Sakkal Majalla" w:eastAsiaTheme="minorEastAsia" w:hAnsi="Sakkal Majalla" w:cs="Sakkal Majalla"/>
          <w:sz w:val="32"/>
          <w:szCs w:val="32"/>
          <w:rtl/>
        </w:rPr>
      </w:pPr>
      <w:r w:rsidRPr="00863B82">
        <w:rPr>
          <w:rFonts w:ascii="Sakkal Majalla" w:eastAsiaTheme="minorEastAsia" w:hAnsi="Sakkal Majalla" w:cs="Sakkal Majalla"/>
          <w:sz w:val="32"/>
          <w:szCs w:val="32"/>
        </w:rPr>
        <w:t>The Kingdom would also like to clarify that community-based mental health services have been expanded through home visits conducted by the psychiatric care team for patients unable to attend the hospital. Furthermore, psychiatric clinics have been opened in primary healthcare centers to facilitate direct referrals from family physicians, ensuring easier access to mental-health services within primary care settings by consultants from the Psychiatric Hospital.</w:t>
      </w:r>
    </w:p>
    <w:p w14:paraId="258DDCA3"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The Role of Healthcare in Distinguishing Between Ill-Treatment and Torture</w:t>
      </w:r>
    </w:p>
    <w:p w14:paraId="4E56199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Public hospitals play a fundamental role in distinguishing between ill-treatment and torture in accordance with the constitutional and legislative framework that prohibits all forms of torture and degrading treatment. This framework obliges the provision of comprehensive healthcare for </w:t>
      </w:r>
      <w:r w:rsidRPr="00863B82">
        <w:rPr>
          <w:rFonts w:ascii="Sakkal Majalla" w:hAnsi="Sakkal Majalla" w:cs="Sakkal Majalla"/>
          <w:sz w:val="32"/>
          <w:szCs w:val="32"/>
        </w:rPr>
        <w:lastRenderedPageBreak/>
        <w:t>inmates, the conduct of medical examinations independently and impartially, and the documentation of any injuries in official medical records that are confidential and objective.</w:t>
      </w:r>
    </w:p>
    <w:p w14:paraId="58201DB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This legal framework strengthens the ability of medical reports to differentiate levels of harm, ensures the independence of medical decision-making, and reinforces the duty of professional documentation without any external influence. In line with these obligations, medical </w:t>
      </w:r>
      <w:proofErr w:type="gramStart"/>
      <w:r w:rsidRPr="00863B82">
        <w:rPr>
          <w:rFonts w:ascii="Sakkal Majalla" w:hAnsi="Sakkal Majalla" w:cs="Sakkal Majalla"/>
          <w:sz w:val="32"/>
          <w:szCs w:val="32"/>
        </w:rPr>
        <w:t>teams—</w:t>
      </w:r>
      <w:proofErr w:type="gramEnd"/>
      <w:r w:rsidRPr="00863B82">
        <w:rPr>
          <w:rFonts w:ascii="Sakkal Majalla" w:hAnsi="Sakkal Majalla" w:cs="Sakkal Majalla"/>
          <w:sz w:val="32"/>
          <w:szCs w:val="32"/>
        </w:rPr>
        <w:t xml:space="preserve">when examining physical and psychological </w:t>
      </w:r>
      <w:proofErr w:type="gramStart"/>
      <w:r w:rsidRPr="00863B82">
        <w:rPr>
          <w:rFonts w:ascii="Sakkal Majalla" w:hAnsi="Sakkal Majalla" w:cs="Sakkal Majalla"/>
          <w:sz w:val="32"/>
          <w:szCs w:val="32"/>
        </w:rPr>
        <w:t>injuries—</w:t>
      </w:r>
      <w:proofErr w:type="gramEnd"/>
      <w:r w:rsidRPr="00863B82">
        <w:rPr>
          <w:rFonts w:ascii="Sakkal Majalla" w:hAnsi="Sakkal Majalla" w:cs="Sakkal Majalla"/>
          <w:sz w:val="32"/>
          <w:szCs w:val="32"/>
        </w:rPr>
        <w:t>prepare neutral clinical reports and are required to report any suspected harm. This enables an objective distinction between accidental injuries or harm caused by isolated misconduct and indicators that may amount to torture.</w:t>
      </w:r>
    </w:p>
    <w:p w14:paraId="6321560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integrated system ensures an independent medical assessment that strengthens the protection of inmates, safeguards their dignity, and aligns with the Kingdom of Bahrain’s obligations under the Convention against Torture.</w:t>
      </w:r>
    </w:p>
    <w:p w14:paraId="10EEA5F0"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Measures Taken in Cases of Death or Serious Injury:</w:t>
      </w:r>
    </w:p>
    <w:p w14:paraId="2E6095A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In cases of death or serious injury inside correctional and rehabilitation centers, public hospitals undertake a series of immediate and comprehensive measures to safeguard the lives and safety of inmates in accordance with national laws. These measures </w:t>
      </w:r>
      <w:proofErr w:type="gramStart"/>
      <w:r w:rsidRPr="00863B82">
        <w:rPr>
          <w:rFonts w:ascii="Sakkal Majalla" w:hAnsi="Sakkal Majalla" w:cs="Sakkal Majalla"/>
          <w:sz w:val="32"/>
          <w:szCs w:val="32"/>
        </w:rPr>
        <w:t>include:</w:t>
      </w:r>
      <w:proofErr w:type="gramEnd"/>
      <w:r w:rsidRPr="00863B82">
        <w:rPr>
          <w:rFonts w:ascii="Sakkal Majalla" w:hAnsi="Sakkal Majalla" w:cs="Sakkal Majalla"/>
          <w:sz w:val="32"/>
          <w:szCs w:val="32"/>
        </w:rPr>
        <w:t xml:space="preserve"> providing urgent medical care inside the centers, transferring critical cases to public hospitals equipped with all necessary medical devices, documenting all medical actions in official records, and referring the case to a specialized medical committee to determine the medical causes of death or serious injury.</w:t>
      </w:r>
    </w:p>
    <w:p w14:paraId="4A5AA4C7"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Any case suspected of being related to ill-treatment or torture is referred directly to the competent judicial authorities, without any security interference in the medical decision-making process. Administrative procedures also include notifying the center’s administration and national oversight </w:t>
      </w:r>
      <w:proofErr w:type="gramStart"/>
      <w:r w:rsidRPr="00863B82">
        <w:rPr>
          <w:rFonts w:ascii="Sakkal Majalla" w:hAnsi="Sakkal Majalla" w:cs="Sakkal Majalla"/>
          <w:sz w:val="32"/>
          <w:szCs w:val="32"/>
        </w:rPr>
        <w:t>bodies, and</w:t>
      </w:r>
      <w:proofErr w:type="gramEnd"/>
      <w:r w:rsidRPr="00863B82">
        <w:rPr>
          <w:rFonts w:ascii="Sakkal Majalla" w:hAnsi="Sakkal Majalla" w:cs="Sakkal Majalla"/>
          <w:sz w:val="32"/>
          <w:szCs w:val="32"/>
        </w:rPr>
        <w:t xml:space="preserve"> reviewing all related files and reports.</w:t>
      </w:r>
    </w:p>
    <w:p w14:paraId="1270301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In this regard, it is important to note that the Ombudsman’s Office plays a central role in handling cases of death that may occur among inmates, detainees, or pre-trial detainees. The Correction and Rehabilitation Institution Law (Law No. 18 of 2014) and its Executive Regulations require the Institution to immediately notify the Ombudsman of any death occurring to an inmate or pre-trial detainee. Furthermore, Decree No. 27 of 2012 assigns the Ombudsman the mandate to investigate such cases.</w:t>
      </w:r>
    </w:p>
    <w:p w14:paraId="74F205B2"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Ombudsman initiates investigative procedures by promptly visiting the scene of the incident, reviewing all documents and medical reports related to the death as well as the inmate’s medical history, and hearing statements from inmates and treating physicians. This process aims to determine the medical care the inmate had received, the procedures taken, the speed of response to the inmate’s medical condition, and the timeliness of their transfer to a medical facility. The Ombudsman also coordinates with the Public Prosecution regarding the criminal investigation it conducts, as well as the forensic medical report of the deceased.</w:t>
      </w:r>
    </w:p>
    <w:p w14:paraId="03D17CF9"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Fourth: Rehabilitation, Education, and Reintegration Services</w:t>
      </w:r>
    </w:p>
    <w:p w14:paraId="16B400F3"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 xml:space="preserve">1. Education and vocational training: </w:t>
      </w:r>
      <w:r w:rsidRPr="00863B82">
        <w:rPr>
          <w:rFonts w:ascii="Sakkal Majalla" w:hAnsi="Sakkal Majalla" w:cs="Sakkal Majalla"/>
          <w:sz w:val="32"/>
          <w:szCs w:val="32"/>
        </w:rPr>
        <w:t xml:space="preserve">Correction and rehabilitation centers in Bahrain adopt an approach based on </w:t>
      </w:r>
      <w:r w:rsidRPr="00863B82">
        <w:rPr>
          <w:rFonts w:ascii="Sakkal Majalla" w:hAnsi="Sakkal Majalla" w:cs="Sakkal Majalla"/>
          <w:i/>
          <w:iCs/>
          <w:sz w:val="32"/>
          <w:szCs w:val="32"/>
        </w:rPr>
        <w:t>“rehabilitative justice”</w:t>
      </w:r>
      <w:r w:rsidRPr="00863B82">
        <w:rPr>
          <w:rFonts w:ascii="Sakkal Majalla" w:hAnsi="Sakkal Majalla" w:cs="Sakkal Majalla"/>
          <w:sz w:val="32"/>
          <w:szCs w:val="32"/>
        </w:rPr>
        <w:t>, focusing on educational and vocational opportunities. Key features include:</w:t>
      </w:r>
    </w:p>
    <w:p w14:paraId="12952F5D" w14:textId="77777777" w:rsidR="00EE66D5" w:rsidRPr="00863B82" w:rsidRDefault="00EE66D5" w:rsidP="0085624E">
      <w:pPr>
        <w:numPr>
          <w:ilvl w:val="0"/>
          <w:numId w:val="31"/>
        </w:numPr>
        <w:bidi w:val="0"/>
        <w:jc w:val="lowKashida"/>
        <w:rPr>
          <w:rFonts w:ascii="Sakkal Majalla" w:hAnsi="Sakkal Majalla" w:cs="Sakkal Majalla"/>
          <w:sz w:val="32"/>
          <w:szCs w:val="32"/>
        </w:rPr>
      </w:pPr>
      <w:r w:rsidRPr="00863B82">
        <w:rPr>
          <w:rFonts w:ascii="Sakkal Majalla" w:hAnsi="Sakkal Majalla" w:cs="Sakkal Majalla"/>
          <w:sz w:val="32"/>
          <w:szCs w:val="32"/>
        </w:rPr>
        <w:t>Organizing university placement and admission exams inside correctional centers for inmates wishing to pursue higher education, in coordination with higher-education institutions, allowing them to begin or continue university study from within the facility.</w:t>
      </w:r>
    </w:p>
    <w:p w14:paraId="0046C866" w14:textId="77777777" w:rsidR="00EE66D5" w:rsidRPr="00863B82" w:rsidRDefault="00EE66D5" w:rsidP="0085624E">
      <w:pPr>
        <w:numPr>
          <w:ilvl w:val="0"/>
          <w:numId w:val="31"/>
        </w:numPr>
        <w:bidi w:val="0"/>
        <w:jc w:val="lowKashida"/>
        <w:rPr>
          <w:rFonts w:ascii="Sakkal Majalla" w:hAnsi="Sakkal Majalla" w:cs="Sakkal Majalla"/>
          <w:sz w:val="32"/>
          <w:szCs w:val="32"/>
        </w:rPr>
      </w:pPr>
      <w:r w:rsidRPr="00863B82">
        <w:rPr>
          <w:rFonts w:ascii="Sakkal Majalla" w:hAnsi="Sakkal Majalla" w:cs="Sakkal Majalla"/>
          <w:sz w:val="32"/>
          <w:szCs w:val="32"/>
        </w:rPr>
        <w:t>Providing basic educational programs for literacy and essential skills.</w:t>
      </w:r>
    </w:p>
    <w:p w14:paraId="36829AB7" w14:textId="77777777" w:rsidR="00EE66D5" w:rsidRPr="00863B82" w:rsidRDefault="00EE66D5" w:rsidP="0085624E">
      <w:pPr>
        <w:numPr>
          <w:ilvl w:val="0"/>
          <w:numId w:val="31"/>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Offering vocational training programs in multiple fields (crafts, technical skills, service-sector work), enabling inmates to acquire a profession that can provide a source of income after release.</w:t>
      </w:r>
    </w:p>
    <w:p w14:paraId="4B763805" w14:textId="77777777" w:rsidR="00EE66D5" w:rsidRPr="00863B82" w:rsidRDefault="00EE66D5" w:rsidP="0085624E">
      <w:pPr>
        <w:numPr>
          <w:ilvl w:val="0"/>
          <w:numId w:val="31"/>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Delivering religious and cultural programs, as well as sports, artistic, and social activities that contribute to reshaping values and </w:t>
      </w:r>
      <w:proofErr w:type="gramStart"/>
      <w:r w:rsidRPr="00863B82">
        <w:rPr>
          <w:rFonts w:ascii="Sakkal Majalla" w:hAnsi="Sakkal Majalla" w:cs="Sakkal Majalla"/>
          <w:sz w:val="32"/>
          <w:szCs w:val="32"/>
        </w:rPr>
        <w:t>behavior, and</w:t>
      </w:r>
      <w:proofErr w:type="gramEnd"/>
      <w:r w:rsidRPr="00863B82">
        <w:rPr>
          <w:rFonts w:ascii="Sakkal Majalla" w:hAnsi="Sakkal Majalla" w:cs="Sakkal Majalla"/>
          <w:sz w:val="32"/>
          <w:szCs w:val="32"/>
        </w:rPr>
        <w:t xml:space="preserve"> preparing inmates for a stable life following completion of their sentence.</w:t>
      </w:r>
    </w:p>
    <w:p w14:paraId="1150025E"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 xml:space="preserve">2. Reintegration and post-release care programs: </w:t>
      </w:r>
      <w:r w:rsidRPr="00863B82">
        <w:rPr>
          <w:rFonts w:ascii="Sakkal Majalla" w:hAnsi="Sakkal Majalla" w:cs="Sakkal Majalla"/>
          <w:sz w:val="32"/>
          <w:szCs w:val="32"/>
        </w:rPr>
        <w:t xml:space="preserve">Within the philosophy of </w:t>
      </w:r>
      <w:r w:rsidRPr="00863B82">
        <w:rPr>
          <w:rFonts w:ascii="Sakkal Majalla" w:hAnsi="Sakkal Majalla" w:cs="Sakkal Majalla"/>
          <w:i/>
          <w:iCs/>
          <w:sz w:val="32"/>
          <w:szCs w:val="32"/>
        </w:rPr>
        <w:t>“from prison to society”</w:t>
      </w:r>
      <w:r w:rsidRPr="00863B82">
        <w:rPr>
          <w:rFonts w:ascii="Sakkal Majalla" w:hAnsi="Sakkal Majalla" w:cs="Sakkal Majalla"/>
          <w:sz w:val="32"/>
          <w:szCs w:val="32"/>
        </w:rPr>
        <w:t>, Bahrain implements follow-up and reintegration programs for beneficiaries of alternative sentences and open-prison programs. These include:</w:t>
      </w:r>
    </w:p>
    <w:p w14:paraId="45778EDD" w14:textId="77777777" w:rsidR="00EE66D5" w:rsidRPr="00863B82" w:rsidRDefault="00EE66D5" w:rsidP="0085624E">
      <w:pPr>
        <w:numPr>
          <w:ilvl w:val="0"/>
          <w:numId w:val="32"/>
        </w:numPr>
        <w:bidi w:val="0"/>
        <w:jc w:val="lowKashida"/>
        <w:rPr>
          <w:rFonts w:ascii="Sakkal Majalla" w:hAnsi="Sakkal Majalla" w:cs="Sakkal Majalla"/>
          <w:sz w:val="32"/>
          <w:szCs w:val="32"/>
        </w:rPr>
      </w:pPr>
      <w:r w:rsidRPr="00863B82">
        <w:rPr>
          <w:rFonts w:ascii="Sakkal Majalla" w:hAnsi="Sakkal Majalla" w:cs="Sakkal Majalla"/>
          <w:sz w:val="32"/>
          <w:szCs w:val="32"/>
        </w:rPr>
        <w:t>Social and psychological follow-up.</w:t>
      </w:r>
    </w:p>
    <w:p w14:paraId="16B08F67" w14:textId="77777777" w:rsidR="00EE66D5" w:rsidRPr="00863B82" w:rsidRDefault="00EE66D5" w:rsidP="0085624E">
      <w:pPr>
        <w:numPr>
          <w:ilvl w:val="0"/>
          <w:numId w:val="32"/>
        </w:numPr>
        <w:bidi w:val="0"/>
        <w:jc w:val="lowKashida"/>
        <w:rPr>
          <w:rFonts w:ascii="Sakkal Majalla" w:hAnsi="Sakkal Majalla" w:cs="Sakkal Majalla"/>
          <w:sz w:val="32"/>
          <w:szCs w:val="32"/>
        </w:rPr>
      </w:pPr>
      <w:r w:rsidRPr="00863B82">
        <w:rPr>
          <w:rFonts w:ascii="Sakkal Majalla" w:hAnsi="Sakkal Majalla" w:cs="Sakkal Majalla"/>
          <w:sz w:val="32"/>
          <w:szCs w:val="32"/>
        </w:rPr>
        <w:t>Guiding beneficiaries towards labor-market opportunities.</w:t>
      </w:r>
    </w:p>
    <w:p w14:paraId="0E7A111A" w14:textId="77777777" w:rsidR="00EE66D5" w:rsidRPr="00863B82" w:rsidRDefault="00EE66D5" w:rsidP="0085624E">
      <w:pPr>
        <w:numPr>
          <w:ilvl w:val="0"/>
          <w:numId w:val="32"/>
        </w:numPr>
        <w:bidi w:val="0"/>
        <w:jc w:val="lowKashida"/>
        <w:rPr>
          <w:rFonts w:ascii="Sakkal Majalla" w:hAnsi="Sakkal Majalla" w:cs="Sakkal Majalla"/>
          <w:sz w:val="32"/>
          <w:szCs w:val="32"/>
        </w:rPr>
      </w:pPr>
      <w:r w:rsidRPr="00863B82">
        <w:rPr>
          <w:rFonts w:ascii="Sakkal Majalla" w:hAnsi="Sakkal Majalla" w:cs="Sakkal Majalla"/>
          <w:sz w:val="32"/>
          <w:szCs w:val="32"/>
        </w:rPr>
        <w:t>Coordination with civil-society institutions and the private sector to provide employment and training opportunities.</w:t>
      </w:r>
    </w:p>
    <w:p w14:paraId="7BEECC23" w14:textId="77777777" w:rsidR="00EE66D5" w:rsidRPr="00863B82" w:rsidRDefault="00EE66D5" w:rsidP="0085624E">
      <w:pPr>
        <w:numPr>
          <w:ilvl w:val="0"/>
          <w:numId w:val="32"/>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Specialized programs for individuals with addiction problems, implemented within the framework of non-custodial alternatives, with continued monitoring after program completion to prevent </w:t>
      </w:r>
      <w:proofErr w:type="gramStart"/>
      <w:r w:rsidRPr="00863B82">
        <w:rPr>
          <w:rFonts w:ascii="Sakkal Majalla" w:hAnsi="Sakkal Majalla" w:cs="Sakkal Majalla"/>
          <w:sz w:val="32"/>
          <w:szCs w:val="32"/>
        </w:rPr>
        <w:t>relapse</w:t>
      </w:r>
      <w:proofErr w:type="gramEnd"/>
      <w:r w:rsidRPr="00863B82">
        <w:rPr>
          <w:rFonts w:ascii="Sakkal Majalla" w:hAnsi="Sakkal Majalla" w:cs="Sakkal Majalla"/>
          <w:sz w:val="32"/>
          <w:szCs w:val="32"/>
        </w:rPr>
        <w:t xml:space="preserve"> and re-offending.</w:t>
      </w:r>
    </w:p>
    <w:p w14:paraId="131A55AD" w14:textId="77777777" w:rsidR="00EE66D5" w:rsidRPr="00863B82" w:rsidRDefault="00EE66D5" w:rsidP="0085624E">
      <w:pPr>
        <w:numPr>
          <w:ilvl w:val="0"/>
          <w:numId w:val="32"/>
        </w:numPr>
        <w:bidi w:val="0"/>
        <w:jc w:val="lowKashida"/>
        <w:rPr>
          <w:rFonts w:ascii="Sakkal Majalla" w:hAnsi="Sakkal Majalla" w:cs="Sakkal Majalla"/>
          <w:sz w:val="32"/>
          <w:szCs w:val="32"/>
        </w:rPr>
      </w:pPr>
      <w:r w:rsidRPr="00863B82">
        <w:rPr>
          <w:rFonts w:ascii="Sakkal Majalla" w:hAnsi="Sakkal Majalla" w:cs="Sakkal Majalla"/>
          <w:sz w:val="32"/>
          <w:szCs w:val="32"/>
        </w:rPr>
        <w:t>Involving public hospitals and health authorities in monitoring cases with medical or psychological needs after release, ensuring continuity of care.</w:t>
      </w:r>
    </w:p>
    <w:p w14:paraId="7455842B" w14:textId="77777777" w:rsidR="00EE66D5" w:rsidRPr="00863B82" w:rsidRDefault="00EE66D5" w:rsidP="0085624E">
      <w:pPr>
        <w:bidi w:val="0"/>
        <w:jc w:val="lowKashida"/>
        <w:rPr>
          <w:rFonts w:ascii="Sakkal Majalla" w:hAnsi="Sakkal Majalla" w:cs="Sakkal Majalla"/>
          <w:sz w:val="32"/>
          <w:szCs w:val="32"/>
          <w:rtl/>
        </w:rPr>
      </w:pPr>
      <w:r w:rsidRPr="00863B82">
        <w:rPr>
          <w:rFonts w:ascii="Sakkal Majalla" w:hAnsi="Sakkal Majalla" w:cs="Sakkal Majalla"/>
          <w:sz w:val="32"/>
          <w:szCs w:val="32"/>
        </w:rPr>
        <w:t xml:space="preserve">This integrated system reflects the principle that the objective is </w:t>
      </w:r>
      <w:r w:rsidRPr="00863B82">
        <w:rPr>
          <w:rFonts w:ascii="Sakkal Majalla" w:hAnsi="Sakkal Majalla" w:cs="Sakkal Majalla"/>
          <w:i/>
          <w:iCs/>
          <w:sz w:val="32"/>
          <w:szCs w:val="32"/>
        </w:rPr>
        <w:t>“rehabilitation, not isolation”</w:t>
      </w:r>
      <w:r w:rsidRPr="00863B82">
        <w:rPr>
          <w:rFonts w:ascii="Sakkal Majalla" w:hAnsi="Sakkal Majalla" w:cs="Sakkal Majalla"/>
          <w:sz w:val="32"/>
          <w:szCs w:val="32"/>
        </w:rPr>
        <w:t>, and that an inmate is regarded as a beneficiary of a rehabilitative service, rather than merely a person serving a sentence.</w:t>
      </w:r>
    </w:p>
    <w:p w14:paraId="0FBC59EA"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lastRenderedPageBreak/>
        <w:t>Fifth: The Alternative Sentencing System and the Open Prisons Program and Their Positive Impact</w:t>
      </w:r>
    </w:p>
    <w:p w14:paraId="47D215E3"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Legislative Framework and Development of Alternative Sentencing: Law No. (18) of 2017 on Alternative Sentences and Measures marked a turning point in Bahrain’s criminal justice policy, as it allowed for replacing custodial sentences with </w:t>
      </w:r>
      <w:proofErr w:type="gramStart"/>
      <w:r w:rsidRPr="00863B82">
        <w:rPr>
          <w:rFonts w:ascii="Sakkal Majalla" w:hAnsi="Sakkal Majalla" w:cs="Sakkal Majalla"/>
          <w:sz w:val="32"/>
          <w:szCs w:val="32"/>
        </w:rPr>
        <w:t>a number of</w:t>
      </w:r>
      <w:proofErr w:type="gramEnd"/>
      <w:r w:rsidRPr="00863B82">
        <w:rPr>
          <w:rFonts w:ascii="Sakkal Majalla" w:hAnsi="Sakkal Majalla" w:cs="Sakkal Majalla"/>
          <w:sz w:val="32"/>
          <w:szCs w:val="32"/>
        </w:rPr>
        <w:t xml:space="preserve"> measures such as community service, house arrest, electronic monitoring, bans on visiting certain places, mandatory attendance of rehabilitation and training programs, etc. </w:t>
      </w:r>
    </w:p>
    <w:p w14:paraId="619E81ED"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In 2021, Article (13) was amended so that completing half of the sentence was no longer required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request its replacement with an alternative sanction. The amendment also allowed the Ministry of Interior to request sentence substitution before the sentence begins, under specific conditions related to public security and financial obligations.</w:t>
      </w:r>
    </w:p>
    <w:p w14:paraId="18EB407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In 2025, Law No. (20) of 2025 was issued, amending certain provisions of the Alternative Sentencing Law, adding two new measures:</w:t>
      </w:r>
    </w:p>
    <w:p w14:paraId="1415914B" w14:textId="77777777" w:rsidR="00EE66D5" w:rsidRPr="00863B82" w:rsidRDefault="00EE66D5" w:rsidP="0085624E">
      <w:pPr>
        <w:numPr>
          <w:ilvl w:val="0"/>
          <w:numId w:val="33"/>
        </w:numPr>
        <w:bidi w:val="0"/>
        <w:jc w:val="lowKashida"/>
        <w:rPr>
          <w:rFonts w:ascii="Sakkal Majalla" w:hAnsi="Sakkal Majalla" w:cs="Sakkal Majalla"/>
          <w:sz w:val="32"/>
          <w:szCs w:val="32"/>
        </w:rPr>
      </w:pPr>
      <w:r w:rsidRPr="00863B82">
        <w:rPr>
          <w:rFonts w:ascii="Sakkal Majalla" w:hAnsi="Sakkal Majalla" w:cs="Sakkal Majalla"/>
          <w:sz w:val="32"/>
          <w:szCs w:val="32"/>
        </w:rPr>
        <w:t>Placement in specialized psychological care institutions or health facilities with individualized treatment plans.</w:t>
      </w:r>
    </w:p>
    <w:p w14:paraId="1A739F39" w14:textId="77777777" w:rsidR="00EE66D5" w:rsidRPr="00863B82" w:rsidRDefault="00EE66D5" w:rsidP="0085624E">
      <w:pPr>
        <w:numPr>
          <w:ilvl w:val="0"/>
          <w:numId w:val="33"/>
        </w:numPr>
        <w:bidi w:val="0"/>
        <w:jc w:val="lowKashida"/>
        <w:rPr>
          <w:rFonts w:ascii="Sakkal Majalla" w:hAnsi="Sakkal Majalla" w:cs="Sakkal Majalla"/>
          <w:sz w:val="32"/>
          <w:szCs w:val="32"/>
        </w:rPr>
      </w:pPr>
      <w:r w:rsidRPr="00863B82">
        <w:rPr>
          <w:rFonts w:ascii="Sakkal Majalla" w:hAnsi="Sakkal Majalla" w:cs="Sakkal Majalla"/>
          <w:sz w:val="32"/>
          <w:szCs w:val="32"/>
        </w:rPr>
        <w:t>A requirement to report to a security authority at specified times, in addition to regulating bans on accessing certain places or electronic sites linked to the crime.</w:t>
      </w:r>
    </w:p>
    <w:p w14:paraId="60B0114A"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These developments reflect the widening scope and diversification of alternative measures, enabling the design of sanctions that correspond both to the seriousness of the act and the individual needs of the offender.</w:t>
      </w:r>
    </w:p>
    <w:p w14:paraId="5D943DF1"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Quantitative Impact and Practical Effectiveness:</w:t>
      </w:r>
    </w:p>
    <w:p w14:paraId="1B191C45" w14:textId="77777777" w:rsidR="00EE66D5" w:rsidRPr="00863B82" w:rsidRDefault="00EE66D5" w:rsidP="0085624E">
      <w:pPr>
        <w:numPr>
          <w:ilvl w:val="0"/>
          <w:numId w:val="34"/>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More than 9,500 individuals have benefited from alternative sentences from May 2018 to November 2025.</w:t>
      </w:r>
    </w:p>
    <w:p w14:paraId="2D5E551D" w14:textId="77777777" w:rsidR="00EE66D5" w:rsidRPr="00863B82" w:rsidRDefault="00EE66D5" w:rsidP="0085624E">
      <w:pPr>
        <w:numPr>
          <w:ilvl w:val="0"/>
          <w:numId w:val="34"/>
        </w:numPr>
        <w:bidi w:val="0"/>
        <w:jc w:val="lowKashida"/>
        <w:rPr>
          <w:rFonts w:ascii="Sakkal Majalla" w:hAnsi="Sakkal Majalla" w:cs="Sakkal Majalla"/>
          <w:sz w:val="32"/>
          <w:szCs w:val="32"/>
        </w:rPr>
      </w:pPr>
      <w:r w:rsidRPr="00863B82">
        <w:rPr>
          <w:rFonts w:ascii="Sakkal Majalla" w:hAnsi="Sakkal Majalla" w:cs="Sakkal Majalla"/>
          <w:sz w:val="32"/>
          <w:szCs w:val="32"/>
        </w:rPr>
        <w:t>The recidivism rate among beneficiaries has declined to approximately 2.5%, one of the lowest globally—an indicator of the program’s effectiveness in rehabilitation and preventing reoffending.</w:t>
      </w:r>
    </w:p>
    <w:p w14:paraId="16F40F68"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International reports and analyses have also highlighted Bahrain’s alternative sentencing system as one of the leading models in the region, benefiting thousands of convicts and contributing to reducing the number of inmates while gradually reintegrating them into society and the economy.</w:t>
      </w:r>
    </w:p>
    <w:p w14:paraId="2BFFC267"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Open Prisons Program:</w:t>
      </w:r>
    </w:p>
    <w:p w14:paraId="0DD1B70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Open Prisons Program represents an advanced extension of the philosophy underpinning alternative sentencing. It was formally adopted through Minister of Interior Decision No. (91) of 2023, designating a facility for implementing certain alternative sentences, with the aim of applying the program to medium- and high-risk inmates as part of a gradual reintegration approach. The program targets inmates serving long sentences or those assessed as higher-risk, who cannot be moved directly to community-based alternative sanctions. The inmate progresses through three stages:</w:t>
      </w:r>
    </w:p>
    <w:p w14:paraId="416801BB" w14:textId="77777777" w:rsidR="00EE66D5" w:rsidRPr="00863B82" w:rsidRDefault="00EE66D5" w:rsidP="0085624E">
      <w:pPr>
        <w:numPr>
          <w:ilvl w:val="0"/>
          <w:numId w:val="35"/>
        </w:numPr>
        <w:bidi w:val="0"/>
        <w:jc w:val="lowKashida"/>
        <w:rPr>
          <w:rFonts w:ascii="Sakkal Majalla" w:hAnsi="Sakkal Majalla" w:cs="Sakkal Majalla"/>
          <w:sz w:val="32"/>
          <w:szCs w:val="32"/>
        </w:rPr>
      </w:pPr>
      <w:r w:rsidRPr="00863B82">
        <w:rPr>
          <w:rFonts w:ascii="Sakkal Majalla" w:hAnsi="Sakkal Majalla" w:cs="Sakkal Majalla"/>
          <w:sz w:val="32"/>
          <w:szCs w:val="32"/>
        </w:rPr>
        <w:t>Assessment Stage: Conducted inside the correctional facility to determine risk level and rehabilitation needs.</w:t>
      </w:r>
    </w:p>
    <w:p w14:paraId="4E172984" w14:textId="77777777" w:rsidR="00EE66D5" w:rsidRPr="00863B82" w:rsidRDefault="00EE66D5" w:rsidP="0085624E">
      <w:pPr>
        <w:numPr>
          <w:ilvl w:val="0"/>
          <w:numId w:val="35"/>
        </w:numPr>
        <w:bidi w:val="0"/>
        <w:jc w:val="lowKashida"/>
        <w:rPr>
          <w:rFonts w:ascii="Sakkal Majalla" w:hAnsi="Sakkal Majalla" w:cs="Sakkal Majalla"/>
          <w:sz w:val="32"/>
          <w:szCs w:val="32"/>
        </w:rPr>
      </w:pPr>
      <w:r w:rsidRPr="00863B82">
        <w:rPr>
          <w:rFonts w:ascii="Sakkal Majalla" w:hAnsi="Sakkal Majalla" w:cs="Sakkal Majalla"/>
          <w:sz w:val="32"/>
          <w:szCs w:val="32"/>
        </w:rPr>
        <w:t>Rehabilitation Stage: Conducted in a less restrictive environment with intensive psychological, social, and vocational programs.</w:t>
      </w:r>
    </w:p>
    <w:p w14:paraId="69A08AD6" w14:textId="77777777" w:rsidR="00EE66D5" w:rsidRPr="00863B82" w:rsidRDefault="00EE66D5" w:rsidP="0085624E">
      <w:pPr>
        <w:numPr>
          <w:ilvl w:val="0"/>
          <w:numId w:val="35"/>
        </w:num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Gradual Reintegration Stage: Conducted in the open-prisons facility located outside traditional prison walls, with expanded access to family contact, work, and activities, paving the way for eventual eligibility for full alternative sanctions.</w:t>
      </w:r>
    </w:p>
    <w:p w14:paraId="4EFB246F"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Open Prisons Complex provides modern facilities resembling “community-based rehabilitation residences,” in addition to training and education halls, and sports and health facilities. The American Correctional Association (ACA) has recognized the program as one of the distinguished international models in the field of open prisons. The program obtained international accreditation from the ACA in 2024, becoming the first of its kind outside the United States to be accredited in the field of “community residential re-entry facilities,” and within a record timeframe for meeting international standards.</w:t>
      </w:r>
    </w:p>
    <w:p w14:paraId="13B1975C"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The impact of the Alternative Sentencing System and the Open Prisons Program has been reflected in several areas:</w:t>
      </w:r>
    </w:p>
    <w:p w14:paraId="1F086084" w14:textId="77777777" w:rsidR="00EE66D5" w:rsidRPr="00863B82" w:rsidRDefault="00EE66D5" w:rsidP="0085624E">
      <w:pPr>
        <w:numPr>
          <w:ilvl w:val="0"/>
          <w:numId w:val="36"/>
        </w:numPr>
        <w:bidi w:val="0"/>
        <w:jc w:val="lowKashida"/>
        <w:rPr>
          <w:rFonts w:ascii="Sakkal Majalla" w:hAnsi="Sakkal Majalla" w:cs="Sakkal Majalla"/>
          <w:sz w:val="32"/>
          <w:szCs w:val="32"/>
        </w:rPr>
      </w:pPr>
      <w:r w:rsidRPr="00863B82">
        <w:rPr>
          <w:rFonts w:ascii="Sakkal Majalla" w:hAnsi="Sakkal Majalla" w:cs="Sakkal Majalla"/>
          <w:sz w:val="32"/>
          <w:szCs w:val="32"/>
        </w:rPr>
        <w:t>Reducing Overcrowding: The release of thousands of inmates to non-custodial alternatives or their transfer to more open, less crowded environments has eased pressure on traditional dormitories and enabled improved service quality for those remaining in custody.</w:t>
      </w:r>
    </w:p>
    <w:p w14:paraId="1F6B755B" w14:textId="77777777" w:rsidR="00EE66D5" w:rsidRPr="00863B82" w:rsidRDefault="00EE66D5" w:rsidP="0085624E">
      <w:pPr>
        <w:numPr>
          <w:ilvl w:val="0"/>
          <w:numId w:val="36"/>
        </w:numPr>
        <w:bidi w:val="0"/>
        <w:jc w:val="lowKashida"/>
        <w:rPr>
          <w:rFonts w:ascii="Sakkal Majalla" w:hAnsi="Sakkal Majalla" w:cs="Sakkal Majalla"/>
          <w:sz w:val="32"/>
          <w:szCs w:val="32"/>
        </w:rPr>
      </w:pPr>
      <w:r w:rsidRPr="00863B82">
        <w:rPr>
          <w:rFonts w:ascii="Sakkal Majalla" w:hAnsi="Sakkal Majalla" w:cs="Sakkal Majalla"/>
          <w:sz w:val="32"/>
          <w:szCs w:val="32"/>
        </w:rPr>
        <w:t>Improving Internal Conditions: Lower inmate density in cells and dormitories has allowed for better classification, ventilation, and daily programming, and has enabled the development of new facilities designed to accommodate fewer inmates with higher standards.</w:t>
      </w:r>
    </w:p>
    <w:p w14:paraId="7881EFE2" w14:textId="77777777" w:rsidR="00EE66D5" w:rsidRPr="00863B82" w:rsidRDefault="00EE66D5" w:rsidP="0085624E">
      <w:pPr>
        <w:numPr>
          <w:ilvl w:val="0"/>
          <w:numId w:val="36"/>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Advancing Humanitarian Justice and the Reformative Approach: Instead of serving the entire sentence behind bars, inmates—depending on individual assessments—can spend part of their term performing community service, participating in treatment and </w:t>
      </w:r>
      <w:r w:rsidRPr="00863B82">
        <w:rPr>
          <w:rFonts w:ascii="Sakkal Majalla" w:hAnsi="Sakkal Majalla" w:cs="Sakkal Majalla"/>
          <w:sz w:val="32"/>
          <w:szCs w:val="32"/>
        </w:rPr>
        <w:lastRenderedPageBreak/>
        <w:t>rehabilitation programs, or residing within open-prison environments. This mitigates the social and economic consequences of imprisonment on families and society.</w:t>
      </w:r>
    </w:p>
    <w:p w14:paraId="2BDCAA69" w14:textId="77777777" w:rsidR="00EE66D5" w:rsidRPr="00863B82" w:rsidRDefault="00EE66D5" w:rsidP="0085624E">
      <w:pPr>
        <w:numPr>
          <w:ilvl w:val="0"/>
          <w:numId w:val="36"/>
        </w:numPr>
        <w:bidi w:val="0"/>
        <w:jc w:val="lowKashida"/>
        <w:rPr>
          <w:rFonts w:ascii="Sakkal Majalla" w:hAnsi="Sakkal Majalla" w:cs="Sakkal Majalla"/>
          <w:sz w:val="32"/>
          <w:szCs w:val="32"/>
        </w:rPr>
      </w:pPr>
      <w:r w:rsidRPr="00863B82">
        <w:rPr>
          <w:rFonts w:ascii="Sakkal Majalla" w:hAnsi="Sakkal Majalla" w:cs="Sakkal Majalla"/>
          <w:sz w:val="32"/>
          <w:szCs w:val="32"/>
        </w:rPr>
        <w:t>Reducing Recidivism: The low reoffending rate (around 2.5%) among beneficiaries reflects the effectiveness of focusing on rehabilitation, community work, and treatment in addressing the root causes of criminal behavior, rather than merely imposing punitive measures.</w:t>
      </w:r>
    </w:p>
    <w:p w14:paraId="4B825AFB" w14:textId="77777777" w:rsidR="00EE66D5" w:rsidRPr="00863B82" w:rsidRDefault="00EE66D5" w:rsidP="0085624E">
      <w:pPr>
        <w:numPr>
          <w:ilvl w:val="0"/>
          <w:numId w:val="36"/>
        </w:numPr>
        <w:bidi w:val="0"/>
        <w:jc w:val="lowKashida"/>
        <w:rPr>
          <w:rFonts w:ascii="Sakkal Majalla" w:hAnsi="Sakkal Majalla" w:cs="Sakkal Majalla"/>
          <w:sz w:val="32"/>
          <w:szCs w:val="32"/>
        </w:rPr>
      </w:pPr>
      <w:r w:rsidRPr="00863B82">
        <w:rPr>
          <w:rFonts w:ascii="Sakkal Majalla" w:hAnsi="Sakkal Majalla" w:cs="Sakkal Majalla"/>
          <w:sz w:val="32"/>
          <w:szCs w:val="32"/>
        </w:rPr>
        <w:t>Enhancing the Justice System’s Reputation: ACA accreditation for rehabilitation and open-prisons programs, coupled with growing regional and international interest in this model, indicates that Bahrain has moved from a “punitive prison” approach to a “reformative prison” approach aligned with international standards.</w:t>
      </w:r>
    </w:p>
    <w:p w14:paraId="62E92B0B" w14:textId="77777777" w:rsidR="00EE66D5" w:rsidRPr="00863B82" w:rsidRDefault="00EE66D5"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Sixth: Oversight Mechanisms and the Enhancement of Human Rights</w:t>
      </w:r>
    </w:p>
    <w:p w14:paraId="2625395D"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Bahrain is distinguished by the presence of independent national oversight mechanisms that ensure transparency in the management of correctional, pre-trial detention, and custodial facilities, and that monitor the implementation of positive developments. These mechanisms include the National Institution for Human Rights (NIHR), which conducts regular and unannounced inspection visits to correctional centers, meets individually with inmates to verify their living and health conditions, and receives complaints through a free hotline (80001144) and a mobile application. They also include the Prisoners and Detainees Rights Commission (PCHR), which undertakes comprehensive visits to verify compliance with international standards, issues recommendations to the competent authorities, and follows up on their implementation. In addition, the Ombudsman’s Office receives inmate-related complaints confidentially and independently and conducts its own investigations to safeguard inmate rights in cases of alleged violations.</w:t>
      </w:r>
    </w:p>
    <w:p w14:paraId="7D165BA1"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lastRenderedPageBreak/>
        <w:t>Reports issued by these bodies indicate a persistent commitment to implementing recommendations aimed at improving conditions, such as ensuring the quality of healthcare services provided to inmates and monitoring adherence to the provision of adequate medical care.</w:t>
      </w:r>
    </w:p>
    <w:p w14:paraId="5DC62E31"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As part of enhancing transparency and openness, the Ministry of Interior has also organized field visits for members of the diplomatic corps and representatives of international organizations to correctional and rehabilitation facilities, enabling them to directly observe the facilities, services, and reform programs. This reflects the Kingdom’s commitment to a policy of trust and cooperation with international partners in the field of human rights.</w:t>
      </w:r>
    </w:p>
    <w:p w14:paraId="16E6EDA3"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Between 2022 and 2025, the total number of supervisory and oversight visits to correctional, rehabilitation, and pre-trial detention centers exceeded 460 visits, carried out by independent local and international oversight bodies, including the International Committee of the Red Cross (ICRC) and accredited embassies in the Kingdom of Bahrain. The purpose of these visits was to verify inmate conditions and ensure they were not subjected to torture or to cruel, inhuman, or degrading treatment. This included listening to their statements, gathering observations, reviewing relevant documentation, and conducting on-site inspections in accordance with established monitoring standards. The findings and recommendations resulting from these visits are submitted to the competent authorities for follow-up and necessary action.</w:t>
      </w:r>
    </w:p>
    <w:p w14:paraId="343745E8"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Seventh: Response to Certain Thematic Observations</w:t>
      </w:r>
    </w:p>
    <w:p w14:paraId="478197E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1. Regarding Hunger Strikes:</w:t>
      </w:r>
      <w:r w:rsidRPr="00863B82">
        <w:rPr>
          <w:rFonts w:ascii="Sakkal Majalla" w:hAnsi="Sakkal Majalla" w:cs="Sakkal Majalla"/>
          <w:sz w:val="32"/>
          <w:szCs w:val="32"/>
        </w:rPr>
        <w:t xml:space="preserve"> With respect to hunger-strike cases within correctional and rehabilitation centers, the Ministry of Interior follows an approach grounded in full respect for the rights of inmates and in ensuring their physical and psychological safety, in accordance with national legislation and relevant international standards. Necessary medical care is provided </w:t>
      </w:r>
      <w:r w:rsidRPr="00863B82">
        <w:rPr>
          <w:rFonts w:ascii="Sakkal Majalla" w:hAnsi="Sakkal Majalla" w:cs="Sakkal Majalla"/>
          <w:sz w:val="32"/>
          <w:szCs w:val="32"/>
        </w:rPr>
        <w:lastRenderedPageBreak/>
        <w:t>under the supervision of specialized medical staff, while fully respecting the inmate’s will and human dignity.</w:t>
      </w:r>
    </w:p>
    <w:p w14:paraId="51ACF20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Ministry affirms that artificial feeding is used only in the narrowest of circumstances, and solely </w:t>
      </w:r>
      <w:proofErr w:type="gramStart"/>
      <w:r w:rsidRPr="00863B82">
        <w:rPr>
          <w:rFonts w:ascii="Sakkal Majalla" w:hAnsi="Sakkal Majalla" w:cs="Sakkal Majalla"/>
          <w:sz w:val="32"/>
          <w:szCs w:val="32"/>
        </w:rPr>
        <w:t>on the basis of</w:t>
      </w:r>
      <w:proofErr w:type="gramEnd"/>
      <w:r w:rsidRPr="00863B82">
        <w:rPr>
          <w:rFonts w:ascii="Sakkal Majalla" w:hAnsi="Sakkal Majalla" w:cs="Sakkal Majalla"/>
          <w:sz w:val="32"/>
          <w:szCs w:val="32"/>
        </w:rPr>
        <w:t xml:space="preserve"> a purely medical recommendation aimed at saving the inmate’s life or preventing serious harm, and always in full compliance with legal and ethical safeguards and in line with the principles of the Convention against Torture.</w:t>
      </w:r>
    </w:p>
    <w:p w14:paraId="72CDB51B"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approach reflects the Ministry’s commitment to maintaining a balance between respecting the inmate’s freedom to express their position and its duty to protect their life and safety. It should be noted that some hunger strikes are of a demonstrative nature, despite the availability of medical care and legal guarantees. The competent authorities address such situations responsibly, with the utmost focus on preserving life and preventing harm, while respecting national laws and international obligations.</w:t>
      </w:r>
    </w:p>
    <w:p w14:paraId="58A9C059"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Ministry further emphasizes that hunger strikes are considered a form of peaceful expression that some inmates may resort to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pressure authorities to meet certain demands. Inmates on hunger strike are managed in accordance with applicable laws and established medical and administrative protocols.</w:t>
      </w:r>
    </w:p>
    <w:p w14:paraId="0344F3C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2. Regarding Women’s Correctional and Rehabilitation Centers:</w:t>
      </w:r>
      <w:r w:rsidRPr="00863B82">
        <w:rPr>
          <w:rFonts w:ascii="Sakkal Majalla" w:hAnsi="Sakkal Majalla" w:cs="Sakkal Majalla"/>
          <w:sz w:val="32"/>
          <w:szCs w:val="32"/>
        </w:rPr>
        <w:t xml:space="preserve"> The Ministry of Interior affirms its commitment to protecting and providing a safe environment for female pre-trial detainees, convicted inmates, and accompanying children in custodial facilities. The Ministry provides equal access to healthcare, psychological and social services, and educational, cultural, and rehabilitative programs without discrimination.</w:t>
      </w:r>
    </w:p>
    <w:p w14:paraId="07489374"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staff of the Women’s Correctional and Pre-trial Detention Center receive continuous training, including lectures, courses, and workshops on human rights, anti-torture legislation and </w:t>
      </w:r>
      <w:r w:rsidRPr="00863B82">
        <w:rPr>
          <w:rFonts w:ascii="Sakkal Majalla" w:hAnsi="Sakkal Majalla" w:cs="Sakkal Majalla"/>
          <w:sz w:val="32"/>
          <w:szCs w:val="32"/>
        </w:rPr>
        <w:lastRenderedPageBreak/>
        <w:t>conventions, as well as participation in academic programs such as the Human Rights Diploma, the Correctional Institution Diploma, and the Social Work Diploma. Training also covers handling diverse situations, interacting with individuals from different cultures and religions, and understanding national legislation and its amendments, in addition to the Police Code of Conduct and the Basic Principles on the Use of Force and Firearms.</w:t>
      </w:r>
    </w:p>
    <w:p w14:paraId="064D762E"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It is noteworthy that multiple oversight bodies monitor performance to ensure there is no misuse of authority. The Reform and Rehabilitation Institution Law and its implementing regulations include numerous provisions focusing on the rights of detainees and inmates and the procedures governing their treatment from admission to release. These provisions ensure classification processes in cooperation with relevant entities and multidisciplinary staff, and emphasize informing inmates of their rights and responsibilities, respecting human dignity regardless of the charge or offense committed, and supporting the reformative role of correctional institutions in behavior modification and reintegration.</w:t>
      </w:r>
    </w:p>
    <w:p w14:paraId="64BB6D2F"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There are also established mechanisms for complaints and oversight, including the Ombudsman’s Office, the Internal Audit and Investigation Directorate, the Special Investigation Unit, the National Institution for Human Rights, and the Prisoners and Detainees Rights Commission—all independent oversight bodies responsible for ensuring that the reform process proceeds in accordance with the law and without any abuse of the authority granted to staff.</w:t>
      </w:r>
    </w:p>
    <w:p w14:paraId="055894A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3. Regarding Freedom of Religious Practice:</w:t>
      </w:r>
      <w:r w:rsidRPr="00863B82">
        <w:rPr>
          <w:rFonts w:ascii="Sakkal Majalla" w:hAnsi="Sakkal Majalla" w:cs="Sakkal Majalla"/>
          <w:sz w:val="32"/>
          <w:szCs w:val="32"/>
        </w:rPr>
        <w:t xml:space="preserve"> The Ministry of Interior affirms that the freedom to perform religious rituals is guaranteed in the Kingdom of Bahrain under the Constitution and national legislation, which ensure every individual the right to freely practice their religious rites, within the framework of respecting public order and preserving security and civil peace. The Ministry is committed to providing protection and support for all religious events and occasions </w:t>
      </w:r>
      <w:r w:rsidRPr="00863B82">
        <w:rPr>
          <w:rFonts w:ascii="Sakkal Majalla" w:hAnsi="Sakkal Majalla" w:cs="Sakkal Majalla"/>
          <w:sz w:val="32"/>
          <w:szCs w:val="32"/>
        </w:rPr>
        <w:lastRenderedPageBreak/>
        <w:t>of various sects and faiths, without discrimination or restriction, reaffirming the Kingdom’s long-standing approach of religious tolerance and peaceful coexistence.</w:t>
      </w:r>
    </w:p>
    <w:p w14:paraId="324B5875"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The Ministry rejects any claims alleging restrictions on the performance of religious rituals and reiterates its unwavering commitment to safeguarding this right as an integral component of the human-rights framework. Article 22 of Bahrain’s Constitution explicitly states: </w:t>
      </w:r>
      <w:r w:rsidRPr="00863B82">
        <w:rPr>
          <w:rFonts w:ascii="Sakkal Majalla" w:hAnsi="Sakkal Majalla" w:cs="Sakkal Majalla"/>
          <w:i/>
          <w:iCs/>
          <w:sz w:val="32"/>
          <w:szCs w:val="32"/>
        </w:rPr>
        <w:t>“Freedom of conscience is absolute, and the State shall guarantee the inviolability of places of worship and the freedom to perform religious rites, processions, and gatherings in accordance with the customs observed in the country.”</w:t>
      </w:r>
      <w:r w:rsidRPr="00863B82">
        <w:rPr>
          <w:rFonts w:ascii="Sakkal Majalla" w:hAnsi="Sakkal Majalla" w:cs="Sakkal Majalla"/>
          <w:sz w:val="32"/>
          <w:szCs w:val="32"/>
        </w:rPr>
        <w:t xml:space="preserve"> The Ministry emphasizes that the free practice of faith and worship is a fundamental right guaranteed by the Bahraini Constitution and protected throughout the Kingdom.</w:t>
      </w:r>
    </w:p>
    <w:p w14:paraId="0F8D442B"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The law further safeguards the right to religious practice under Article 27 of the Reform and Rehabilitation Institution Law and Article 51 of its Executive Regulations. In accordance with these provisions, inmates and pre-trial detainees are allowed to perform their religious rituals at their designated times, provided this does not compromise the security and order of the facility and is organized in line with the instructions issued by the center’s administration.</w:t>
      </w:r>
    </w:p>
    <w:p w14:paraId="397CD9EC"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In sum, the inmate-care system in Bahrain now rests on three interrelated pillars:</w:t>
      </w:r>
    </w:p>
    <w:p w14:paraId="05C10456"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A. Improved Living and Structural Conditions:</w:t>
      </w:r>
      <w:r w:rsidRPr="00863B82">
        <w:rPr>
          <w:rFonts w:ascii="Sakkal Majalla" w:hAnsi="Sakkal Majalla" w:cs="Sakkal Majalla"/>
          <w:sz w:val="32"/>
          <w:szCs w:val="32"/>
        </w:rPr>
        <w:t xml:space="preserve"> Through new facilities, reduced overcrowding, extended hours for exercise and ventilation, and guaranteed standards of hygiene, food, and water—supported by multilayered independent oversight.</w:t>
      </w:r>
    </w:p>
    <w:p w14:paraId="58D0034D"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t>B. Comprehensive Healthcare:</w:t>
      </w:r>
      <w:r w:rsidRPr="00863B82">
        <w:rPr>
          <w:rFonts w:ascii="Sakkal Majalla" w:hAnsi="Sakkal Majalla" w:cs="Sakkal Majalla"/>
          <w:sz w:val="32"/>
          <w:szCs w:val="32"/>
        </w:rPr>
        <w:t xml:space="preserve"> Through the transfer of medical supervision to the Government Hospitals system, the opening of modern clinics inside correctional centers, and the provision of general, specialist, psychiatric, and </w:t>
      </w:r>
      <w:proofErr w:type="gramStart"/>
      <w:r w:rsidRPr="00863B82">
        <w:rPr>
          <w:rFonts w:ascii="Sakkal Majalla" w:hAnsi="Sakkal Majalla" w:cs="Sakkal Majalla"/>
          <w:sz w:val="32"/>
          <w:szCs w:val="32"/>
        </w:rPr>
        <w:t>addiction-treatment</w:t>
      </w:r>
      <w:proofErr w:type="gramEnd"/>
      <w:r w:rsidRPr="00863B82">
        <w:rPr>
          <w:rFonts w:ascii="Sakkal Majalla" w:hAnsi="Sakkal Majalla" w:cs="Sakkal Majalla"/>
          <w:sz w:val="32"/>
          <w:szCs w:val="32"/>
        </w:rPr>
        <w:t xml:space="preserve"> services, following the same standards applied to all citizens.</w:t>
      </w:r>
    </w:p>
    <w:p w14:paraId="3F1B7352" w14:textId="77777777" w:rsidR="00EE66D5" w:rsidRPr="00863B82" w:rsidRDefault="00EE66D5" w:rsidP="0085624E">
      <w:pPr>
        <w:bidi w:val="0"/>
        <w:jc w:val="lowKashida"/>
        <w:rPr>
          <w:rFonts w:ascii="Sakkal Majalla" w:hAnsi="Sakkal Majalla" w:cs="Sakkal Majalla"/>
          <w:sz w:val="32"/>
          <w:szCs w:val="32"/>
        </w:rPr>
      </w:pPr>
      <w:r w:rsidRPr="00863B82">
        <w:rPr>
          <w:rFonts w:ascii="Sakkal Majalla" w:hAnsi="Sakkal Majalla" w:cs="Sakkal Majalla"/>
          <w:b/>
          <w:bCs/>
          <w:sz w:val="32"/>
          <w:szCs w:val="32"/>
        </w:rPr>
        <w:lastRenderedPageBreak/>
        <w:t>C. Reformative Justice and Innovative Alternatives:</w:t>
      </w:r>
      <w:r w:rsidRPr="00863B82">
        <w:rPr>
          <w:rFonts w:ascii="Sakkal Majalla" w:hAnsi="Sakkal Majalla" w:cs="Sakkal Majalla"/>
          <w:sz w:val="32"/>
          <w:szCs w:val="32"/>
        </w:rPr>
        <w:t xml:space="preserve"> Through the Alternative Sentencing Law and its amendments, the Open Prisons Program, rehabilitation initiatives, and post-release support programs—resulting in reduced overcrowding, lower recidivism, and stronger reintegration of inmates into society in a positive and constructive manner.</w:t>
      </w:r>
    </w:p>
    <w:p w14:paraId="5FDBB121" w14:textId="76CE58E0" w:rsidR="002F028F" w:rsidRPr="00863B82" w:rsidRDefault="002F028F" w:rsidP="0085624E">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bidi w:val="0"/>
        <w:jc w:val="lowKashida"/>
        <w:rPr>
          <w:rFonts w:ascii="Sakkal Majalla" w:hAnsi="Sakkal Majalla" w:cs="Sakkal Majalla"/>
          <w:b/>
          <w:bCs/>
          <w:sz w:val="32"/>
          <w:szCs w:val="32"/>
        </w:rPr>
      </w:pPr>
      <w:bookmarkStart w:id="0" w:name="_6d4c5uu9m67j" w:colFirst="0" w:colLast="0"/>
      <w:bookmarkEnd w:id="0"/>
      <w:r w:rsidRPr="00863B82">
        <w:rPr>
          <w:rFonts w:ascii="Sakkal Majalla" w:hAnsi="Sakkal Majalla" w:cs="Sakkal Majalla"/>
          <w:b/>
          <w:bCs/>
          <w:sz w:val="32"/>
          <w:szCs w:val="32"/>
        </w:rPr>
        <w:t>Topic 26: Independent Oversight Mechanisms and the Extent of Their Effectiveness and Independence</w:t>
      </w:r>
    </w:p>
    <w:p w14:paraId="0A272AE3"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Kingdom of Bahrain has strengthened the legislative and oversight framework relating to places of detention by establishing independent national bodies that carry out inspection and monitoring functions. These bodies include the National Institution for Human Rights, the Ombudsman’s Office, the Prisoners and Detainees Rights Commission, and the Human Rights Committee at the Ministry of Interior. </w:t>
      </w:r>
      <w:proofErr w:type="gramStart"/>
      <w:r w:rsidRPr="00863B82">
        <w:rPr>
          <w:rFonts w:ascii="Sakkal Majalla" w:hAnsi="Sakkal Majalla" w:cs="Sakkal Majalla"/>
          <w:sz w:val="32"/>
          <w:szCs w:val="32"/>
        </w:rPr>
        <w:t>All of</w:t>
      </w:r>
      <w:proofErr w:type="gramEnd"/>
      <w:r w:rsidRPr="00863B82">
        <w:rPr>
          <w:rFonts w:ascii="Sakkal Majalla" w:hAnsi="Sakkal Majalla" w:cs="Sakkal Majalla"/>
          <w:sz w:val="32"/>
          <w:szCs w:val="32"/>
        </w:rPr>
        <w:t xml:space="preserve"> these bodies are authorised to conduct regular and unannounced visits to all detention facilities,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verify the treatment of detainees and ensure compliance with relevant international standards.</w:t>
      </w:r>
    </w:p>
    <w:p w14:paraId="1BA50F86"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Since 2022, more than 433 supervisory and monitoring visits have been carried out at the Reform and Rehabilitation Centre by these national bodies, in addition to visits conducted by the Public Prosecution, the International Committee of the Red Cross, and accredited embassies.</w:t>
      </w:r>
    </w:p>
    <w:p w14:paraId="26513EFB"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This coordination between national redress and oversight mechanisms has contributed to strengthening accountability and transparency, and to ensuring the practical implementation of </w:t>
      </w:r>
      <w:r w:rsidRPr="00863B82">
        <w:rPr>
          <w:rFonts w:ascii="Sakkal Majalla" w:hAnsi="Sakkal Majalla" w:cs="Sakkal Majalla"/>
          <w:sz w:val="32"/>
          <w:szCs w:val="32"/>
        </w:rPr>
        <w:lastRenderedPageBreak/>
        <w:t>the Convention’s provisions. In this regard, the recommendations issued by these bodies were taken into consideration when the recent legislative amendments were adopted, including:</w:t>
      </w:r>
    </w:p>
    <w:p w14:paraId="15E9D89C" w14:textId="745B3E8E" w:rsidR="002F028F" w:rsidRPr="00863B82" w:rsidRDefault="002F028F" w:rsidP="0085624E">
      <w:pPr>
        <w:pStyle w:val="ListParagraph"/>
        <w:numPr>
          <w:ilvl w:val="0"/>
          <w:numId w:val="57"/>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Law No. (6) of 2024, amending certain provisions of the Reform and Rehabilitation Institution Law; and</w:t>
      </w:r>
    </w:p>
    <w:p w14:paraId="47279FB4" w14:textId="7E0555A2" w:rsidR="002F028F" w:rsidRPr="00863B82" w:rsidRDefault="002F028F" w:rsidP="0085624E">
      <w:pPr>
        <w:pStyle w:val="ListParagraph"/>
        <w:numPr>
          <w:ilvl w:val="0"/>
          <w:numId w:val="57"/>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Decision No. (49) of 2024, amending the Executive Regulations of Law No. (131) of 2015 concerning the regulation of Reform and Rehabilitation Centres.</w:t>
      </w:r>
    </w:p>
    <w:p w14:paraId="56269DB9"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These amendments represent an important step forward in promoting and safeguarding human rights within reform and rehabilitation facilities. They include, among other measures:</w:t>
      </w:r>
    </w:p>
    <w:p w14:paraId="227D9A2D" w14:textId="78FF8E4A" w:rsidR="002F028F" w:rsidRPr="00863B82" w:rsidRDefault="002F028F" w:rsidP="0085624E">
      <w:pPr>
        <w:pStyle w:val="ListParagraph"/>
        <w:numPr>
          <w:ilvl w:val="0"/>
          <w:numId w:val="58"/>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Transferring the operation of clinic services within the centres to government hospitals, as an independent service provider with administrative autonomy, to ensure the provision of free and comprehensive healthcare to all inmates (Article 28 of Law No. 6 of 2024).</w:t>
      </w:r>
    </w:p>
    <w:p w14:paraId="47906D44" w14:textId="7F02AE6E" w:rsidR="002F028F" w:rsidRPr="00863B82" w:rsidRDefault="002F028F" w:rsidP="0085624E">
      <w:pPr>
        <w:pStyle w:val="ListParagraph"/>
        <w:numPr>
          <w:ilvl w:val="0"/>
          <w:numId w:val="58"/>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Expanding the scope of family visits beyond first- and second-degree relatives, in support of family ties and social reintegration (Decision No. 49 of 2024).</w:t>
      </w:r>
    </w:p>
    <w:p w14:paraId="02A48D83" w14:textId="22F97F8F" w:rsidR="00216521" w:rsidRPr="00863B82" w:rsidRDefault="002F028F" w:rsidP="0085624E">
      <w:pPr>
        <w:pStyle w:val="ListParagraph"/>
        <w:numPr>
          <w:ilvl w:val="0"/>
          <w:numId w:val="58"/>
        </w:num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Increasing the minimum daily time allotted for sunlight exposure and physical activity to at least two hours for all inmates, to support their physical and mental wellbeing (same decision referenced to above).</w:t>
      </w:r>
    </w:p>
    <w:p w14:paraId="7FFAD2C3" w14:textId="4E6E9059"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As with the preceding section, this chapter contains detailed information due to the number of observations and questions raised regarding the national independent oversight mechanisms and the extent of their independence and effectiveness. Each of these national mechanisms is therefore explained objectively and in detail as follows:</w:t>
      </w:r>
    </w:p>
    <w:p w14:paraId="54748045" w14:textId="3CB1EF63" w:rsidR="002F028F" w:rsidRPr="00863B82" w:rsidRDefault="002F028F" w:rsidP="0085624E">
      <w:pPr>
        <w:bidi w:val="0"/>
        <w:jc w:val="lowKashida"/>
        <w:rPr>
          <w:rFonts w:ascii="Sakkal Majalla" w:hAnsi="Sakkal Majalla" w:cs="Sakkal Majalla"/>
          <w:b/>
          <w:bCs/>
          <w:sz w:val="32"/>
          <w:szCs w:val="32"/>
        </w:rPr>
      </w:pPr>
      <w:bookmarkStart w:id="1" w:name="_sgys9u61yrcy" w:colFirst="0" w:colLast="0"/>
      <w:bookmarkEnd w:id="1"/>
      <w:r w:rsidRPr="00863B82">
        <w:rPr>
          <w:rFonts w:ascii="Sakkal Majalla" w:hAnsi="Sakkal Majalla" w:cs="Sakkal Majalla"/>
          <w:b/>
          <w:bCs/>
          <w:sz w:val="32"/>
          <w:szCs w:val="32"/>
        </w:rPr>
        <w:t>National Institution for Human Rights</w:t>
      </w:r>
      <w:r w:rsidR="00D81D2C" w:rsidRPr="00863B82">
        <w:rPr>
          <w:rFonts w:ascii="Sakkal Majalla" w:hAnsi="Sakkal Majalla" w:cs="Sakkal Majalla"/>
          <w:b/>
          <w:bCs/>
          <w:sz w:val="32"/>
          <w:szCs w:val="32"/>
        </w:rPr>
        <w:t>:</w:t>
      </w:r>
    </w:p>
    <w:p w14:paraId="1469B39B"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 National Institution for Human Rights is one of the key components of Bahrain’s human rights protection system, alongside other oversight mechanisms such as the Ombudsman’s Office, the Prisoners and Detainees Rights Commission, and the Special Investigation Unit, among others.</w:t>
      </w:r>
    </w:p>
    <w:p w14:paraId="361C014C"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Institution was established under Royal Order No. (46) of </w:t>
      </w:r>
      <w:proofErr w:type="gramStart"/>
      <w:r w:rsidRPr="00863B82">
        <w:rPr>
          <w:rFonts w:ascii="Sakkal Majalla" w:hAnsi="Sakkal Majalla" w:cs="Sakkal Majalla"/>
          <w:sz w:val="32"/>
          <w:szCs w:val="32"/>
        </w:rPr>
        <w:t>2009, and</w:t>
      </w:r>
      <w:proofErr w:type="gramEnd"/>
      <w:r w:rsidRPr="00863B82">
        <w:rPr>
          <w:rFonts w:ascii="Sakkal Majalla" w:hAnsi="Sakkal Majalla" w:cs="Sakkal Majalla"/>
          <w:sz w:val="32"/>
          <w:szCs w:val="32"/>
        </w:rPr>
        <w:t xml:space="preserve"> later reorganised by Law No. (26) of 2014 and Decree-Law No. (20) of 2016, becoming an administratively and financially independent body operating in accordance with the Paris Principles. The law grants the Institution an independent legal personality and financial and administrative autonomy, and it is overseen by a Board of Commissioners responsible for general policy direction. Its mandate is broad and includes legislative review, complaints, visits, and awareness-raising.</w:t>
      </w:r>
    </w:p>
    <w:p w14:paraId="6B6A9F17" w14:textId="77777777" w:rsidR="002F028F" w:rsidRPr="00863B82" w:rsidRDefault="002F028F" w:rsidP="0085624E">
      <w:pPr>
        <w:bidi w:val="0"/>
        <w:spacing w:before="240" w:after="240" w:line="360" w:lineRule="auto"/>
        <w:jc w:val="lowKashida"/>
        <w:rPr>
          <w:rFonts w:ascii="Sakkal Majalla" w:hAnsi="Sakkal Majalla" w:cs="Sakkal Majalla"/>
          <w:color w:val="FF0000"/>
          <w:sz w:val="32"/>
          <w:szCs w:val="32"/>
        </w:rPr>
      </w:pPr>
      <w:r w:rsidRPr="00863B82">
        <w:rPr>
          <w:rFonts w:ascii="Sakkal Majalla" w:hAnsi="Sakkal Majalla" w:cs="Sakkal Majalla"/>
          <w:sz w:val="32"/>
          <w:szCs w:val="32"/>
        </w:rPr>
        <w:t>The Institution is a permanent member of the Global Alliance of National Human Rights Institutions (GANHRI) and the Asia Pacific Forum (APF), enabling it to participate in the work of the Human Rights Council, treaty bodies, and special procedures.</w:t>
      </w:r>
    </w:p>
    <w:p w14:paraId="51DCA155" w14:textId="77777777" w:rsidR="00D81D2C" w:rsidRPr="00863B82" w:rsidRDefault="002F028F" w:rsidP="0085624E">
      <w:pPr>
        <w:bidi w:val="0"/>
        <w:jc w:val="lowKashida"/>
        <w:rPr>
          <w:rFonts w:ascii="Sakkal Majalla" w:hAnsi="Sakkal Majalla" w:cs="Sakkal Majalla"/>
          <w:b/>
          <w:bCs/>
          <w:sz w:val="32"/>
          <w:szCs w:val="32"/>
        </w:rPr>
      </w:pPr>
      <w:bookmarkStart w:id="2" w:name="_9rbbgihz2o40" w:colFirst="0" w:colLast="0"/>
      <w:bookmarkEnd w:id="2"/>
      <w:r w:rsidRPr="00863B82">
        <w:rPr>
          <w:rFonts w:ascii="Sakkal Majalla" w:hAnsi="Sakkal Majalla" w:cs="Sakkal Majalla"/>
          <w:b/>
          <w:bCs/>
          <w:sz w:val="32"/>
          <w:szCs w:val="32"/>
        </w:rPr>
        <w:lastRenderedPageBreak/>
        <w:t>The Institution operates in accordance with a methodology based on three main pillars:</w:t>
      </w:r>
      <w:bookmarkStart w:id="3" w:name="_8j9p0dyci59o" w:colFirst="0" w:colLast="0"/>
      <w:bookmarkEnd w:id="3"/>
    </w:p>
    <w:p w14:paraId="4DC69B87" w14:textId="77777777" w:rsidR="00D81D2C" w:rsidRPr="00863B82" w:rsidRDefault="002F028F" w:rsidP="0085624E">
      <w:pPr>
        <w:bidi w:val="0"/>
        <w:jc w:val="lowKashida"/>
        <w:rPr>
          <w:rFonts w:ascii="Sakkal Majalla" w:hAnsi="Sakkal Majalla" w:cs="Sakkal Majalla"/>
          <w:b/>
          <w:bCs/>
          <w:sz w:val="32"/>
          <w:szCs w:val="32"/>
        </w:rPr>
      </w:pPr>
      <w:r w:rsidRPr="00863B82">
        <w:rPr>
          <w:rFonts w:ascii="Sakkal Majalla" w:hAnsi="Sakkal Majalla" w:cs="Sakkal Majalla"/>
          <w:b/>
          <w:bCs/>
          <w:sz w:val="32"/>
          <w:szCs w:val="32"/>
        </w:rPr>
        <w:t>1) Protection</w:t>
      </w:r>
      <w:r w:rsidR="00D81D2C" w:rsidRPr="00863B82">
        <w:rPr>
          <w:rFonts w:ascii="Sakkal Majalla" w:hAnsi="Sakkal Majalla" w:cs="Sakkal Majalla"/>
          <w:b/>
          <w:bCs/>
          <w:sz w:val="32"/>
          <w:szCs w:val="32"/>
        </w:rPr>
        <w:t xml:space="preserve">: </w:t>
      </w:r>
    </w:p>
    <w:p w14:paraId="3530847E" w14:textId="38FFF0D3" w:rsidR="002F028F" w:rsidRPr="00863B82" w:rsidRDefault="002F028F" w:rsidP="0085624E">
      <w:pPr>
        <w:bidi w:val="0"/>
        <w:jc w:val="lowKashida"/>
        <w:rPr>
          <w:rFonts w:ascii="Sakkal Majalla" w:hAnsi="Sakkal Majalla" w:cs="Sakkal Majalla"/>
          <w:sz w:val="32"/>
          <w:szCs w:val="32"/>
        </w:rPr>
      </w:pPr>
      <w:r w:rsidRPr="00863B82">
        <w:rPr>
          <w:rFonts w:ascii="Sakkal Majalla" w:hAnsi="Sakkal Majalla" w:cs="Sakkal Majalla"/>
          <w:sz w:val="32"/>
          <w:szCs w:val="32"/>
        </w:rPr>
        <w:t>This includes receiving individual complaints, providing legal assistance, communicating with government bodies, and referring cases to the competent authorities where necessary (such as the Ombudsman, the Public Prosecution, or the Special Investigation Unit). It also covers conducting field visits to places of detention and care facilities.</w:t>
      </w:r>
    </w:p>
    <w:p w14:paraId="2157B456" w14:textId="77777777" w:rsidR="002F028F" w:rsidRPr="00863B82" w:rsidRDefault="002F028F" w:rsidP="0085624E">
      <w:pPr>
        <w:bidi w:val="0"/>
        <w:jc w:val="lowKashida"/>
        <w:rPr>
          <w:rFonts w:ascii="Sakkal Majalla" w:hAnsi="Sakkal Majalla" w:cs="Sakkal Majalla"/>
          <w:b/>
          <w:bCs/>
          <w:sz w:val="32"/>
          <w:szCs w:val="32"/>
        </w:rPr>
      </w:pPr>
      <w:bookmarkStart w:id="4" w:name="_yjz3edf0l6mc" w:colFirst="0" w:colLast="0"/>
      <w:bookmarkEnd w:id="4"/>
      <w:r w:rsidRPr="00863B82">
        <w:rPr>
          <w:rFonts w:ascii="Sakkal Majalla" w:hAnsi="Sakkal Majalla" w:cs="Sakkal Majalla"/>
          <w:b/>
          <w:bCs/>
          <w:sz w:val="32"/>
          <w:szCs w:val="32"/>
        </w:rPr>
        <w:t>2) Promotion</w:t>
      </w:r>
    </w:p>
    <w:p w14:paraId="3CAE038F"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This involves providing opinions on draft legislation, implementing training and awareness-raising programmes, and preparing independent reports.</w:t>
      </w:r>
    </w:p>
    <w:p w14:paraId="7ACB6740" w14:textId="77777777" w:rsidR="002F028F" w:rsidRPr="00863B82" w:rsidRDefault="002F028F" w:rsidP="0085624E">
      <w:pPr>
        <w:bidi w:val="0"/>
        <w:jc w:val="lowKashida"/>
        <w:rPr>
          <w:rFonts w:ascii="Sakkal Majalla" w:hAnsi="Sakkal Majalla" w:cs="Sakkal Majalla"/>
          <w:b/>
          <w:bCs/>
          <w:sz w:val="32"/>
          <w:szCs w:val="32"/>
        </w:rPr>
      </w:pPr>
      <w:bookmarkStart w:id="5" w:name="_rskwtlyxzez4" w:colFirst="0" w:colLast="0"/>
      <w:bookmarkEnd w:id="5"/>
      <w:r w:rsidRPr="00863B82">
        <w:rPr>
          <w:rFonts w:ascii="Sakkal Majalla" w:hAnsi="Sakkal Majalla" w:cs="Sakkal Majalla"/>
          <w:b/>
          <w:bCs/>
          <w:sz w:val="32"/>
          <w:szCs w:val="32"/>
        </w:rPr>
        <w:t>3) Monitoring and Reporting</w:t>
      </w:r>
    </w:p>
    <w:p w14:paraId="68450E70"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This includes preparing detailed annual reports and thematic reports (for example, on women, children, labour, and health). This methodology aligns with the standard model for a “national human rights institution”, rather than the model of a “judicial investigative body”. This distinction is deliberate and consistent with the design of national institutions worldwide.</w:t>
      </w:r>
    </w:p>
    <w:p w14:paraId="3C47D932" w14:textId="77777777" w:rsidR="002F028F" w:rsidRPr="00863B82" w:rsidRDefault="002F028F" w:rsidP="0085624E">
      <w:pPr>
        <w:bidi w:val="0"/>
        <w:jc w:val="lowKashida"/>
        <w:rPr>
          <w:rFonts w:ascii="Sakkal Majalla" w:hAnsi="Sakkal Majalla" w:cs="Sakkal Majalla"/>
          <w:sz w:val="32"/>
          <w:szCs w:val="32"/>
        </w:rPr>
      </w:pPr>
      <w:bookmarkStart w:id="6" w:name="_sx0hbl1ihjcf" w:colFirst="0" w:colLast="0"/>
      <w:bookmarkEnd w:id="6"/>
      <w:proofErr w:type="gramStart"/>
      <w:r w:rsidRPr="00863B82">
        <w:rPr>
          <w:rFonts w:ascii="Sakkal Majalla" w:hAnsi="Sakkal Majalla" w:cs="Sakkal Majalla"/>
          <w:sz w:val="32"/>
          <w:szCs w:val="32"/>
        </w:rPr>
        <w:t>In regards to</w:t>
      </w:r>
      <w:proofErr w:type="gramEnd"/>
      <w:r w:rsidRPr="00863B82">
        <w:rPr>
          <w:rFonts w:ascii="Sakkal Majalla" w:hAnsi="Sakkal Majalla" w:cs="Sakkal Majalla"/>
          <w:sz w:val="32"/>
          <w:szCs w:val="32"/>
        </w:rPr>
        <w:t xml:space="preserve"> official statistics: visits, complaints, and activities- these figures are considered the most important indicators of practical effectiveness, as they directly reflect the Institution’s level of activity. For example, the Institution’s 2022 annual report recorded 34 field visits carried out to prisons and reform centres, juvenile detention centres, police stations, the psychiatric hospital, and shelters for vulnerable groups. The 2021 annual report recorded 53 visits to the same categories, with additional visits to social care facilities. In general, over recent years the </w:t>
      </w:r>
      <w:r w:rsidRPr="00863B82">
        <w:rPr>
          <w:rFonts w:ascii="Sakkal Majalla" w:hAnsi="Sakkal Majalla" w:cs="Sakkal Majalla"/>
          <w:sz w:val="32"/>
          <w:szCs w:val="32"/>
        </w:rPr>
        <w:lastRenderedPageBreak/>
        <w:t>Institution has carried out between 40 and 70 visits annually on average. This is regarded as a high rate at the regional level and reflects sustained and repeated oversight activity, enabling the Institution to identify shortcomings in detention and healthcare environments.</w:t>
      </w:r>
    </w:p>
    <w:p w14:paraId="2B642C55"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the receipt and handling of complaints, the Institution has received more than 1,200 formally documented complaints in recent years, in addition to over 3,000 requests for legal assistance between 2017 and 2023. It has also made hundreds of referrals to the competent authorities concerning individual cases involving prisoners, women, children, migrant workers, people with disabilities, and citizens with matters related to nationality or residency. A considerable number of complaints were resolved directly following the Institution’s communication with the relevant authorities. Other cases were referred to oversight or judicial bodies (the Ombudsman, the Special Investigation Unit, or the Public Prosecution). The Institution follows up on these cases and records the outcomes in its annual reports.</w:t>
      </w:r>
    </w:p>
    <w:p w14:paraId="3D057233"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Another major area of the Institution’s work is its training and awareness activities. Between 2019 and 2022, the Institution organised around 200 training courses and workshops, involving police departments, prison staff, health and education institutions, civil society organisations, and students from universities and schools. These programmes covered important subjects including combating torture, international standards for detention, the rights of women and children, combating human trafficking, restorative justice, and legal awareness for migrant workers and other at-risk groups.</w:t>
      </w:r>
    </w:p>
    <w:p w14:paraId="14FAE6A5"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proofErr w:type="gramStart"/>
      <w:r w:rsidRPr="00863B82">
        <w:rPr>
          <w:rFonts w:ascii="Sakkal Majalla" w:hAnsi="Sakkal Majalla" w:cs="Sakkal Majalla"/>
          <w:sz w:val="32"/>
          <w:szCs w:val="32"/>
        </w:rPr>
        <w:lastRenderedPageBreak/>
        <w:t>All of</w:t>
      </w:r>
      <w:proofErr w:type="gramEnd"/>
      <w:r w:rsidRPr="00863B82">
        <w:rPr>
          <w:rFonts w:ascii="Sakkal Majalla" w:hAnsi="Sakkal Majalla" w:cs="Sakkal Majalla"/>
          <w:sz w:val="32"/>
          <w:szCs w:val="32"/>
        </w:rPr>
        <w:t xml:space="preserve"> the above is reflected in the Institution’s annual and thematic reports. The Institution issues a detailed annual report which includes complaint statistics, the findings of visits, an assessment of the human-rights situation, and legislative recommendations. It has also issued thematic reports on domestic violence, domestic workers, child rights, women’s rights, the right to health, and restorative justice. These reports enhance transparency and form part of the criteria for compliance with the Paris Principles.</w:t>
      </w:r>
    </w:p>
    <w:p w14:paraId="786F12CB"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Overall, the Institution’s effectiveness can be assessed </w:t>
      </w:r>
      <w:proofErr w:type="gramStart"/>
      <w:r w:rsidRPr="00863B82">
        <w:rPr>
          <w:rFonts w:ascii="Sakkal Majalla" w:hAnsi="Sakkal Majalla" w:cs="Sakkal Majalla"/>
          <w:sz w:val="32"/>
          <w:szCs w:val="32"/>
        </w:rPr>
        <w:t>on the basis of</w:t>
      </w:r>
      <w:proofErr w:type="gramEnd"/>
      <w:r w:rsidRPr="00863B82">
        <w:rPr>
          <w:rFonts w:ascii="Sakkal Majalla" w:hAnsi="Sakkal Majalla" w:cs="Sakkal Majalla"/>
          <w:sz w:val="32"/>
          <w:szCs w:val="32"/>
        </w:rPr>
        <w:t xml:space="preserve"> the available statistics, according to the following indicators:</w:t>
      </w:r>
    </w:p>
    <w:p w14:paraId="5830E131" w14:textId="77777777" w:rsidR="002F028F" w:rsidRPr="00863B82" w:rsidRDefault="002F028F" w:rsidP="0085624E">
      <w:pPr>
        <w:numPr>
          <w:ilvl w:val="0"/>
          <w:numId w:val="51"/>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Oversight Effectiveness (Monitoring):</w:t>
      </w:r>
      <w:r w:rsidRPr="00863B82">
        <w:rPr>
          <w:rFonts w:ascii="Sakkal Majalla" w:hAnsi="Sakkal Majalla" w:cs="Sakkal Majalla"/>
          <w:sz w:val="32"/>
          <w:szCs w:val="32"/>
        </w:rPr>
        <w:br/>
        <w:t>Carrying out between 34 and 70 visits per year constitutes a strong level of oversight by regional standards. In addition, visits to the psychiatric hospital and to care institutions demonstrate an expansion in sector-specific monitoring.</w:t>
      </w:r>
    </w:p>
    <w:p w14:paraId="663C00EC" w14:textId="77777777" w:rsidR="002F028F" w:rsidRPr="00863B82" w:rsidRDefault="002F028F" w:rsidP="0085624E">
      <w:pPr>
        <w:numPr>
          <w:ilvl w:val="0"/>
          <w:numId w:val="51"/>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Effectiveness in Responding to Complaints:</w:t>
      </w:r>
      <w:r w:rsidRPr="00863B82">
        <w:rPr>
          <w:rFonts w:ascii="Sakkal Majalla" w:hAnsi="Sakkal Majalla" w:cs="Sakkal Majalla"/>
          <w:sz w:val="32"/>
          <w:szCs w:val="32"/>
        </w:rPr>
        <w:br/>
        <w:t xml:space="preserve"> The Institution has received thousands of complaints and requests for assistance over the past years, which indicates growing public confidence. More importantly, the Institution’s interventions have contributed to resolving cases involving healthcare, prisoners’ communication and visitation, patient transfers, labour-related issues, and incidents of domestic violence.</w:t>
      </w:r>
    </w:p>
    <w:p w14:paraId="26FC3BB2" w14:textId="77777777" w:rsidR="002F028F" w:rsidRPr="00863B82" w:rsidRDefault="002F028F" w:rsidP="0085624E">
      <w:pPr>
        <w:numPr>
          <w:ilvl w:val="0"/>
          <w:numId w:val="51"/>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Effectiveness in the Legislative Role:</w:t>
      </w:r>
      <w:r w:rsidRPr="00863B82">
        <w:rPr>
          <w:rFonts w:ascii="Sakkal Majalla" w:hAnsi="Sakkal Majalla" w:cs="Sakkal Majalla"/>
          <w:sz w:val="32"/>
          <w:szCs w:val="32"/>
        </w:rPr>
        <w:br/>
        <w:t>The Institution has provided its views on several important pieces of legislation, including the Restorative Justice Law for Children, the Domestic Violence Law, amendments to the Labour Law, and amendments to the Nationality Law. It has also contributed to the implementation of the National Human Rights Plan (2022–2026).</w:t>
      </w:r>
    </w:p>
    <w:p w14:paraId="358AECF6" w14:textId="77777777" w:rsidR="002F028F" w:rsidRPr="00863B82" w:rsidRDefault="002F028F" w:rsidP="0085624E">
      <w:pPr>
        <w:numPr>
          <w:ilvl w:val="0"/>
          <w:numId w:val="51"/>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Effectiveness in Awareness and Capacity Building:</w:t>
      </w:r>
      <w:r w:rsidRPr="00863B82">
        <w:rPr>
          <w:rFonts w:ascii="Sakkal Majalla" w:hAnsi="Sakkal Majalla" w:cs="Sakkal Majalla"/>
          <w:sz w:val="32"/>
          <w:szCs w:val="32"/>
        </w:rPr>
        <w:br/>
        <w:t>The Institution has organised more than 200 training activities over three years, which strengthens its role in capacity building.</w:t>
      </w:r>
    </w:p>
    <w:p w14:paraId="2DB17648" w14:textId="77777777" w:rsidR="002F028F" w:rsidRPr="00863B82" w:rsidRDefault="002F028F" w:rsidP="0085624E">
      <w:pPr>
        <w:bidi w:val="0"/>
        <w:spacing w:before="240" w:after="240" w:line="360" w:lineRule="auto"/>
        <w:jc w:val="lowKashida"/>
        <w:rPr>
          <w:rFonts w:ascii="Sakkal Majalla" w:hAnsi="Sakkal Majalla" w:cs="Sakkal Majalla"/>
          <w:b/>
          <w:bCs/>
          <w:sz w:val="32"/>
          <w:szCs w:val="32"/>
        </w:rPr>
      </w:pPr>
      <w:r w:rsidRPr="00863B82">
        <w:rPr>
          <w:rFonts w:ascii="Sakkal Majalla" w:hAnsi="Sakkal Majalla" w:cs="Sakkal Majalla"/>
          <w:b/>
          <w:bCs/>
          <w:sz w:val="32"/>
          <w:szCs w:val="32"/>
        </w:rPr>
        <w:t>The Ombudsman Office</w:t>
      </w:r>
    </w:p>
    <w:p w14:paraId="0C1364A0"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 Ombudsman’s Office at the Ministry of Interior is one of the most important national preventive mechanisms in the Kingdom of Bahrain, forming part of an integrated system that also includes the National Institution for Human Rights, the Prisoners and Detainees Rights Commission, the Special Investigation Unit at the Public Prosecution, and other oversight and judicial bodies.</w:t>
      </w:r>
    </w:p>
    <w:p w14:paraId="5F081801" w14:textId="77777777" w:rsidR="002F028F" w:rsidRPr="00863B82" w:rsidRDefault="002F028F" w:rsidP="0085624E">
      <w:pPr>
        <w:bidi w:val="0"/>
        <w:spacing w:before="240" w:after="240" w:line="360" w:lineRule="auto"/>
        <w:jc w:val="lowKashida"/>
        <w:rPr>
          <w:rFonts w:ascii="Sakkal Majalla" w:hAnsi="Sakkal Majalla" w:cs="Sakkal Majalla"/>
          <w:color w:val="FF0000"/>
          <w:sz w:val="32"/>
          <w:szCs w:val="32"/>
        </w:rPr>
      </w:pPr>
      <w:r w:rsidRPr="00863B82">
        <w:rPr>
          <w:rFonts w:ascii="Sakkal Majalla" w:hAnsi="Sakkal Majalla" w:cs="Sakkal Majalla"/>
          <w:sz w:val="32"/>
          <w:szCs w:val="32"/>
        </w:rPr>
        <w:t xml:space="preserve">The Ombudsman’s Office was established under Decree No. (27) of 2012, as amended by Decree No. (35) of 2013, and its mandate was subsequently strengthened through further organisational amendments. It is an independent body responsible for receiving and investigating complaints relating to the conduct of Ministry of Interior personnel, inspecting places of detention, issuing </w:t>
      </w:r>
      <w:r w:rsidRPr="00863B82">
        <w:rPr>
          <w:rFonts w:ascii="Sakkal Majalla" w:hAnsi="Sakkal Majalla" w:cs="Sakkal Majalla"/>
          <w:sz w:val="32"/>
          <w:szCs w:val="32"/>
        </w:rPr>
        <w:lastRenderedPageBreak/>
        <w:t xml:space="preserve">recommendations, and taking the necessary measures, including </w:t>
      </w:r>
      <w:proofErr w:type="gramStart"/>
      <w:r w:rsidRPr="00863B82">
        <w:rPr>
          <w:rFonts w:ascii="Sakkal Majalla" w:hAnsi="Sakkal Majalla" w:cs="Sakkal Majalla"/>
          <w:sz w:val="32"/>
          <w:szCs w:val="32"/>
        </w:rPr>
        <w:t>referring</w:t>
      </w:r>
      <w:proofErr w:type="gramEnd"/>
      <w:r w:rsidRPr="00863B82">
        <w:rPr>
          <w:rFonts w:ascii="Sakkal Majalla" w:hAnsi="Sakkal Majalla" w:cs="Sakkal Majalla"/>
          <w:sz w:val="32"/>
          <w:szCs w:val="32"/>
        </w:rPr>
        <w:t xml:space="preserve"> any matter that may constitute a criminal offence to the Public Prosecution. This role places the Ombudsman’s Office within the internationally recognised model of an Ombudsman mechanism overseeing law-enforcement agencies, while retaining the specific features of a body specialising in the Ministry of Interior sector.</w:t>
      </w:r>
    </w:p>
    <w:p w14:paraId="548DBBF3" w14:textId="77777777" w:rsidR="002F028F" w:rsidRPr="00863B82" w:rsidRDefault="002F028F" w:rsidP="0085624E">
      <w:pPr>
        <w:bidi w:val="0"/>
        <w:jc w:val="lowKashida"/>
        <w:rPr>
          <w:rFonts w:ascii="Sakkal Majalla" w:hAnsi="Sakkal Majalla" w:cs="Sakkal Majalla"/>
          <w:b/>
          <w:bCs/>
          <w:sz w:val="32"/>
          <w:szCs w:val="32"/>
        </w:rPr>
      </w:pPr>
      <w:bookmarkStart w:id="7" w:name="_gzwwvaypzqkt" w:colFirst="0" w:colLast="0"/>
      <w:bookmarkEnd w:id="7"/>
      <w:r w:rsidRPr="00863B82">
        <w:rPr>
          <w:rFonts w:ascii="Sakkal Majalla" w:hAnsi="Sakkal Majalla" w:cs="Sakkal Majalla"/>
          <w:b/>
          <w:bCs/>
          <w:sz w:val="32"/>
          <w:szCs w:val="32"/>
        </w:rPr>
        <w:t>Legal and Regulatory Framework and the Independence of the Ombudsman’s Office</w:t>
      </w:r>
    </w:p>
    <w:p w14:paraId="5C702E18" w14:textId="77777777" w:rsidR="002F028F" w:rsidRPr="00863B82" w:rsidRDefault="002F028F" w:rsidP="0085624E">
      <w:pPr>
        <w:bidi w:val="0"/>
        <w:jc w:val="lowKashida"/>
        <w:rPr>
          <w:rFonts w:ascii="Sakkal Majalla" w:hAnsi="Sakkal Majalla" w:cs="Sakkal Majalla"/>
          <w:b/>
          <w:bCs/>
          <w:sz w:val="32"/>
          <w:szCs w:val="32"/>
        </w:rPr>
      </w:pPr>
      <w:bookmarkStart w:id="8" w:name="_za1321phw0v6" w:colFirst="0" w:colLast="0"/>
      <w:bookmarkEnd w:id="8"/>
      <w:r w:rsidRPr="00863B82">
        <w:rPr>
          <w:rFonts w:ascii="Sakkal Majalla" w:hAnsi="Sakkal Majalla" w:cs="Sakkal Majalla"/>
          <w:b/>
          <w:bCs/>
          <w:sz w:val="32"/>
          <w:szCs w:val="32"/>
        </w:rPr>
        <w:t>1. Legal Basis and Mandate</w:t>
      </w:r>
    </w:p>
    <w:p w14:paraId="56A5403C"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In accordance with the decrees regulating its work, the Ombudsman’s Office is vested with the following powers:</w:t>
      </w:r>
    </w:p>
    <w:p w14:paraId="1C9E1EC2"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a. An independent legal personality, with administrative and financial autonomy to the extent provided under the Decree.</w:t>
      </w:r>
    </w:p>
    <w:p w14:paraId="790EAD99"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b. The mandate to receive and examine complaints from inmates, detainees, citizens, and residents against Ministry of Interior personnel concerning breaches of the law or allegations of ill-treatment.</w:t>
      </w:r>
    </w:p>
    <w:p w14:paraId="4326BE78"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c. The authority to conduct comprehensive administrative investigations, including the power to:</w:t>
      </w:r>
    </w:p>
    <w:p w14:paraId="4065CD0C" w14:textId="701B64FE" w:rsidR="002F028F" w:rsidRPr="00863B82" w:rsidRDefault="0039545F" w:rsidP="0085624E">
      <w:pPr>
        <w:pStyle w:val="ListParagraph"/>
        <w:numPr>
          <w:ilvl w:val="0"/>
          <w:numId w:val="60"/>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R</w:t>
      </w:r>
      <w:r w:rsidR="002F028F" w:rsidRPr="00863B82">
        <w:rPr>
          <w:rFonts w:ascii="Sakkal Majalla" w:hAnsi="Sakkal Majalla" w:cs="Sakkal Majalla"/>
          <w:sz w:val="32"/>
          <w:szCs w:val="32"/>
        </w:rPr>
        <w:t xml:space="preserve">equest files and documents from any Ministry of Interior </w:t>
      </w:r>
      <w:proofErr w:type="gramStart"/>
      <w:r w:rsidR="002F028F" w:rsidRPr="00863B82">
        <w:rPr>
          <w:rFonts w:ascii="Sakkal Majalla" w:hAnsi="Sakkal Majalla" w:cs="Sakkal Majalla"/>
          <w:sz w:val="32"/>
          <w:szCs w:val="32"/>
        </w:rPr>
        <w:t>entity;</w:t>
      </w:r>
      <w:proofErr w:type="gramEnd"/>
    </w:p>
    <w:p w14:paraId="1C781BD4" w14:textId="7B51A196" w:rsidR="002F028F" w:rsidRPr="00863B82" w:rsidRDefault="0039545F" w:rsidP="0085624E">
      <w:pPr>
        <w:pStyle w:val="ListParagraph"/>
        <w:numPr>
          <w:ilvl w:val="0"/>
          <w:numId w:val="60"/>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S</w:t>
      </w:r>
      <w:r w:rsidR="002F028F" w:rsidRPr="00863B82">
        <w:rPr>
          <w:rFonts w:ascii="Sakkal Majalla" w:hAnsi="Sakkal Majalla" w:cs="Sakkal Majalla"/>
          <w:sz w:val="32"/>
          <w:szCs w:val="32"/>
        </w:rPr>
        <w:t xml:space="preserve">ummon officials and hear their </w:t>
      </w:r>
      <w:proofErr w:type="gramStart"/>
      <w:r w:rsidR="002F028F" w:rsidRPr="00863B82">
        <w:rPr>
          <w:rFonts w:ascii="Sakkal Majalla" w:hAnsi="Sakkal Majalla" w:cs="Sakkal Majalla"/>
          <w:sz w:val="32"/>
          <w:szCs w:val="32"/>
        </w:rPr>
        <w:t>statements;</w:t>
      </w:r>
      <w:proofErr w:type="gramEnd"/>
    </w:p>
    <w:p w14:paraId="46D05F05" w14:textId="1BB05975" w:rsidR="002F028F" w:rsidRPr="00863B82" w:rsidRDefault="0039545F" w:rsidP="0085624E">
      <w:pPr>
        <w:pStyle w:val="ListParagraph"/>
        <w:numPr>
          <w:ilvl w:val="0"/>
          <w:numId w:val="60"/>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V</w:t>
      </w:r>
      <w:r w:rsidR="002F028F" w:rsidRPr="00863B82">
        <w:rPr>
          <w:rFonts w:ascii="Sakkal Majalla" w:hAnsi="Sakkal Majalla" w:cs="Sakkal Majalla"/>
          <w:sz w:val="32"/>
          <w:szCs w:val="32"/>
        </w:rPr>
        <w:t xml:space="preserve">isit places of detention, reform and rehabilitation centres, and holding </w:t>
      </w:r>
      <w:proofErr w:type="gramStart"/>
      <w:r w:rsidR="002F028F" w:rsidRPr="00863B82">
        <w:rPr>
          <w:rFonts w:ascii="Sakkal Majalla" w:hAnsi="Sakkal Majalla" w:cs="Sakkal Majalla"/>
          <w:sz w:val="32"/>
          <w:szCs w:val="32"/>
        </w:rPr>
        <w:t>facilities;</w:t>
      </w:r>
      <w:proofErr w:type="gramEnd"/>
    </w:p>
    <w:p w14:paraId="42DA15D6" w14:textId="039A9C66" w:rsidR="002F028F" w:rsidRPr="00863B82" w:rsidRDefault="0039545F" w:rsidP="0085624E">
      <w:pPr>
        <w:pStyle w:val="ListParagraph"/>
        <w:numPr>
          <w:ilvl w:val="0"/>
          <w:numId w:val="60"/>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O</w:t>
      </w:r>
      <w:r w:rsidR="002F028F" w:rsidRPr="00863B82">
        <w:rPr>
          <w:rFonts w:ascii="Sakkal Majalla" w:hAnsi="Sakkal Majalla" w:cs="Sakkal Majalla"/>
          <w:sz w:val="32"/>
          <w:szCs w:val="32"/>
        </w:rPr>
        <w:t xml:space="preserve">pen </w:t>
      </w:r>
      <w:proofErr w:type="gramStart"/>
      <w:r w:rsidR="002F028F" w:rsidRPr="00863B82">
        <w:rPr>
          <w:rFonts w:ascii="Sakkal Majalla" w:hAnsi="Sakkal Majalla" w:cs="Sakkal Majalla"/>
          <w:sz w:val="32"/>
          <w:szCs w:val="32"/>
        </w:rPr>
        <w:t>investigations ex officio</w:t>
      </w:r>
      <w:proofErr w:type="gramEnd"/>
      <w:r w:rsidR="002F028F" w:rsidRPr="00863B82">
        <w:rPr>
          <w:rFonts w:ascii="Sakkal Majalla" w:hAnsi="Sakkal Majalla" w:cs="Sakkal Majalla"/>
          <w:sz w:val="32"/>
          <w:szCs w:val="32"/>
        </w:rPr>
        <w:t xml:space="preserve"> into matters identified through the media, civil society organisations, or other </w:t>
      </w:r>
      <w:proofErr w:type="gramStart"/>
      <w:r w:rsidR="002F028F" w:rsidRPr="00863B82">
        <w:rPr>
          <w:rFonts w:ascii="Sakkal Majalla" w:hAnsi="Sakkal Majalla" w:cs="Sakkal Majalla"/>
          <w:sz w:val="32"/>
          <w:szCs w:val="32"/>
        </w:rPr>
        <w:t>sources;</w:t>
      </w:r>
      <w:proofErr w:type="gramEnd"/>
    </w:p>
    <w:p w14:paraId="43849679" w14:textId="08448888" w:rsidR="002F028F" w:rsidRPr="00863B82" w:rsidRDefault="0039545F" w:rsidP="0085624E">
      <w:pPr>
        <w:pStyle w:val="ListParagraph"/>
        <w:numPr>
          <w:ilvl w:val="0"/>
          <w:numId w:val="60"/>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R</w:t>
      </w:r>
      <w:r w:rsidR="002F028F" w:rsidRPr="00863B82">
        <w:rPr>
          <w:rFonts w:ascii="Sakkal Majalla" w:hAnsi="Sakkal Majalla" w:cs="Sakkal Majalla"/>
          <w:sz w:val="32"/>
          <w:szCs w:val="32"/>
        </w:rPr>
        <w:t xml:space="preserve">efer cases involving potential criminal conduct to the Public Prosecution or the Special Investigation </w:t>
      </w:r>
      <w:proofErr w:type="gramStart"/>
      <w:r w:rsidR="002F028F" w:rsidRPr="00863B82">
        <w:rPr>
          <w:rFonts w:ascii="Sakkal Majalla" w:hAnsi="Sakkal Majalla" w:cs="Sakkal Majalla"/>
          <w:sz w:val="32"/>
          <w:szCs w:val="32"/>
        </w:rPr>
        <w:t>Unit, and</w:t>
      </w:r>
      <w:proofErr w:type="gramEnd"/>
      <w:r w:rsidR="002F028F" w:rsidRPr="00863B82">
        <w:rPr>
          <w:rFonts w:ascii="Sakkal Majalla" w:hAnsi="Sakkal Majalla" w:cs="Sakkal Majalla"/>
          <w:sz w:val="32"/>
          <w:szCs w:val="32"/>
        </w:rPr>
        <w:t xml:space="preserve"> follow up on the outcome of such referrals.</w:t>
      </w:r>
    </w:p>
    <w:p w14:paraId="508D70BB"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These powers demonstrate that the Ombudsman’s Office is an oversight body with a broad mandate over the conduct of Ministry of Interior personnel and the conditions of detainees, rather than merely a “complaints office”.</w:t>
      </w:r>
    </w:p>
    <w:p w14:paraId="5D2A886E" w14:textId="77777777" w:rsidR="002F028F" w:rsidRPr="00863B82" w:rsidRDefault="002F028F" w:rsidP="0085624E">
      <w:pPr>
        <w:bidi w:val="0"/>
        <w:jc w:val="lowKashida"/>
        <w:rPr>
          <w:rFonts w:ascii="Sakkal Majalla" w:hAnsi="Sakkal Majalla" w:cs="Sakkal Majalla"/>
          <w:b/>
          <w:bCs/>
          <w:sz w:val="32"/>
          <w:szCs w:val="32"/>
        </w:rPr>
      </w:pPr>
      <w:bookmarkStart w:id="9" w:name="_gf6xtpt0eaao" w:colFirst="0" w:colLast="0"/>
      <w:bookmarkEnd w:id="9"/>
      <w:r w:rsidRPr="00863B82">
        <w:rPr>
          <w:rFonts w:ascii="Sakkal Majalla" w:hAnsi="Sakkal Majalla" w:cs="Sakkal Majalla"/>
          <w:b/>
          <w:bCs/>
          <w:sz w:val="32"/>
          <w:szCs w:val="32"/>
        </w:rPr>
        <w:t>2. Elements of Institutional Independence</w:t>
      </w:r>
    </w:p>
    <w:p w14:paraId="43C0BD47"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has a significant degree of independence under Articles 3(2) and 16 of Decree No. 27 of 2012, through </w:t>
      </w:r>
      <w:proofErr w:type="gramStart"/>
      <w:r w:rsidRPr="00863B82">
        <w:rPr>
          <w:rFonts w:ascii="Sakkal Majalla" w:hAnsi="Sakkal Majalla" w:cs="Sakkal Majalla"/>
          <w:sz w:val="32"/>
          <w:szCs w:val="32"/>
        </w:rPr>
        <w:t>a number of</w:t>
      </w:r>
      <w:proofErr w:type="gramEnd"/>
      <w:r w:rsidRPr="00863B82">
        <w:rPr>
          <w:rFonts w:ascii="Sakkal Majalla" w:hAnsi="Sakkal Majalla" w:cs="Sakkal Majalla"/>
          <w:sz w:val="32"/>
          <w:szCs w:val="32"/>
        </w:rPr>
        <w:t xml:space="preserve"> safeguards, including:</w:t>
      </w:r>
    </w:p>
    <w:p w14:paraId="542A140D" w14:textId="77777777" w:rsidR="002F028F" w:rsidRPr="00863B82" w:rsidRDefault="002F028F" w:rsidP="0085624E">
      <w:pPr>
        <w:pStyle w:val="ListParagraph"/>
        <w:numPr>
          <w:ilvl w:val="0"/>
          <w:numId w:val="61"/>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Administrative and financial independence from the Ministry of Interior’s organisational structure, with its own budget and internal authority over human-resources management.</w:t>
      </w:r>
    </w:p>
    <w:p w14:paraId="6D500698" w14:textId="77777777" w:rsidR="002F028F" w:rsidRPr="00863B82" w:rsidRDefault="002F028F" w:rsidP="0085624E">
      <w:pPr>
        <w:pStyle w:val="ListParagraph"/>
        <w:numPr>
          <w:ilvl w:val="0"/>
          <w:numId w:val="61"/>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Power to open any investigation </w:t>
      </w:r>
      <w:proofErr w:type="gramStart"/>
      <w:r w:rsidRPr="00863B82">
        <w:rPr>
          <w:rFonts w:ascii="Sakkal Majalla" w:hAnsi="Sakkal Majalla" w:cs="Sakkal Majalla"/>
          <w:sz w:val="32"/>
          <w:szCs w:val="32"/>
        </w:rPr>
        <w:t>it</w:t>
      </w:r>
      <w:proofErr w:type="gramEnd"/>
      <w:r w:rsidRPr="00863B82">
        <w:rPr>
          <w:rFonts w:ascii="Sakkal Majalla" w:hAnsi="Sakkal Majalla" w:cs="Sakkal Majalla"/>
          <w:sz w:val="32"/>
          <w:szCs w:val="32"/>
        </w:rPr>
        <w:t xml:space="preserve"> </w:t>
      </w:r>
      <w:proofErr w:type="gramStart"/>
      <w:r w:rsidRPr="00863B82">
        <w:rPr>
          <w:rFonts w:ascii="Sakkal Majalla" w:hAnsi="Sakkal Majalla" w:cs="Sakkal Majalla"/>
          <w:sz w:val="32"/>
          <w:szCs w:val="32"/>
        </w:rPr>
        <w:t>considers</w:t>
      </w:r>
      <w:proofErr w:type="gramEnd"/>
      <w:r w:rsidRPr="00863B82">
        <w:rPr>
          <w:rFonts w:ascii="Sakkal Majalla" w:hAnsi="Sakkal Majalla" w:cs="Sakkal Majalla"/>
          <w:sz w:val="32"/>
          <w:szCs w:val="32"/>
        </w:rPr>
        <w:t xml:space="preserve"> appropriate, without requiring approval from any executive authority within the </w:t>
      </w:r>
      <w:proofErr w:type="gramStart"/>
      <w:r w:rsidRPr="00863B82">
        <w:rPr>
          <w:rFonts w:ascii="Sakkal Majalla" w:hAnsi="Sakkal Majalla" w:cs="Sakkal Majalla"/>
          <w:sz w:val="32"/>
          <w:szCs w:val="32"/>
        </w:rPr>
        <w:t>Ministry;</w:t>
      </w:r>
      <w:proofErr w:type="gramEnd"/>
    </w:p>
    <w:p w14:paraId="3219E730" w14:textId="77777777" w:rsidR="002F028F" w:rsidRPr="00863B82" w:rsidRDefault="002F028F" w:rsidP="0085624E">
      <w:pPr>
        <w:pStyle w:val="ListParagraph"/>
        <w:numPr>
          <w:ilvl w:val="0"/>
          <w:numId w:val="61"/>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right to access all information, individuals and locations relevant to an investigation, including places of </w:t>
      </w:r>
      <w:proofErr w:type="gramStart"/>
      <w:r w:rsidRPr="00863B82">
        <w:rPr>
          <w:rFonts w:ascii="Sakkal Majalla" w:hAnsi="Sakkal Majalla" w:cs="Sakkal Majalla"/>
          <w:sz w:val="32"/>
          <w:szCs w:val="32"/>
        </w:rPr>
        <w:t>detention;</w:t>
      </w:r>
      <w:proofErr w:type="gramEnd"/>
    </w:p>
    <w:p w14:paraId="26C6DA8E" w14:textId="77777777" w:rsidR="002F028F" w:rsidRPr="00863B82" w:rsidRDefault="002F028F" w:rsidP="0085624E">
      <w:pPr>
        <w:pStyle w:val="ListParagraph"/>
        <w:numPr>
          <w:ilvl w:val="0"/>
          <w:numId w:val="61"/>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Presence of independent offices within reform and rehabilitation centres, allowing inmates to submit complaints directly, while ensuring confidentiality and preventing interference by centre management.</w:t>
      </w:r>
    </w:p>
    <w:p w14:paraId="35BB4351"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These elements are consistent with the independence standards found in international Ombudsman models.</w:t>
      </w:r>
    </w:p>
    <w:p w14:paraId="6C124A12" w14:textId="5FEEEAA4" w:rsidR="002F028F" w:rsidRPr="00863B82" w:rsidRDefault="002F028F" w:rsidP="0085624E">
      <w:pPr>
        <w:bidi w:val="0"/>
        <w:jc w:val="lowKashida"/>
        <w:rPr>
          <w:rFonts w:ascii="Sakkal Majalla" w:hAnsi="Sakkal Majalla" w:cs="Sakkal Majalla"/>
          <w:b/>
          <w:bCs/>
          <w:sz w:val="32"/>
          <w:szCs w:val="32"/>
        </w:rPr>
      </w:pPr>
      <w:bookmarkStart w:id="10" w:name="_envtwui6inqx" w:colFirst="0" w:colLast="0"/>
      <w:bookmarkEnd w:id="10"/>
      <w:r w:rsidRPr="00863B82">
        <w:rPr>
          <w:rFonts w:ascii="Sakkal Majalla" w:hAnsi="Sakkal Majalla" w:cs="Sakkal Majalla"/>
          <w:b/>
          <w:bCs/>
          <w:sz w:val="32"/>
          <w:szCs w:val="32"/>
        </w:rPr>
        <w:t>Third: The Working Methodology of the Ombudsman’s Office as an Expression of the International Ombudsman Model</w:t>
      </w:r>
      <w:r w:rsidR="003F56B7" w:rsidRPr="00863B82">
        <w:rPr>
          <w:rFonts w:ascii="Sakkal Majalla" w:hAnsi="Sakkal Majalla" w:cs="Sakkal Majalla"/>
          <w:b/>
          <w:bCs/>
          <w:sz w:val="32"/>
          <w:szCs w:val="32"/>
        </w:rPr>
        <w:t>:</w:t>
      </w:r>
    </w:p>
    <w:p w14:paraId="14B097F7"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The Ombudsman concept in international practice:</w:t>
      </w:r>
    </w:p>
    <w:p w14:paraId="55C2A948"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According to the standards adopted by the International Ombudsman Institute (IOI), the Ombudsman model is based on:</w:t>
      </w:r>
    </w:p>
    <w:p w14:paraId="27E52518" w14:textId="77777777" w:rsidR="002F028F" w:rsidRPr="00863B82" w:rsidRDefault="002F028F" w:rsidP="0085624E">
      <w:pPr>
        <w:pStyle w:val="ListParagraph"/>
        <w:numPr>
          <w:ilvl w:val="0"/>
          <w:numId w:val="62"/>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In its capacity as an independent, non-judicial body that receives individual complaints against public administration or law-enforcement </w:t>
      </w:r>
      <w:proofErr w:type="gramStart"/>
      <w:r w:rsidRPr="00863B82">
        <w:rPr>
          <w:rFonts w:ascii="Sakkal Majalla" w:hAnsi="Sakkal Majalla" w:cs="Sakkal Majalla"/>
          <w:sz w:val="32"/>
          <w:szCs w:val="32"/>
        </w:rPr>
        <w:t>agencies;</w:t>
      </w:r>
      <w:proofErr w:type="gramEnd"/>
    </w:p>
    <w:p w14:paraId="1CCCDFD0" w14:textId="77777777" w:rsidR="002F028F" w:rsidRPr="00863B82" w:rsidRDefault="002F028F" w:rsidP="0085624E">
      <w:pPr>
        <w:pStyle w:val="ListParagraph"/>
        <w:numPr>
          <w:ilvl w:val="0"/>
          <w:numId w:val="62"/>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Conducting administrative and impartial investigations into allegations of abuse of authority, misconduct, or violations of </w:t>
      </w:r>
      <w:proofErr w:type="gramStart"/>
      <w:r w:rsidRPr="00863B82">
        <w:rPr>
          <w:rFonts w:ascii="Sakkal Majalla" w:hAnsi="Sakkal Majalla" w:cs="Sakkal Majalla"/>
          <w:sz w:val="32"/>
          <w:szCs w:val="32"/>
        </w:rPr>
        <w:t>rights;</w:t>
      </w:r>
      <w:proofErr w:type="gramEnd"/>
    </w:p>
    <w:p w14:paraId="7AB2FD16" w14:textId="77777777" w:rsidR="002F028F" w:rsidRPr="00863B82" w:rsidRDefault="002F028F" w:rsidP="0085624E">
      <w:pPr>
        <w:pStyle w:val="ListParagraph"/>
        <w:numPr>
          <w:ilvl w:val="0"/>
          <w:numId w:val="62"/>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Possessing broad powers to obtain information, but without the authority to issue judicial rulings or impose criminal penalties.</w:t>
      </w:r>
    </w:p>
    <w:p w14:paraId="3FA41C9E" w14:textId="77777777" w:rsidR="002F028F" w:rsidRPr="00863B82" w:rsidRDefault="002F028F" w:rsidP="0085624E">
      <w:pPr>
        <w:bidi w:val="0"/>
        <w:spacing w:before="240" w:after="240" w:line="360" w:lineRule="auto"/>
        <w:jc w:val="lowKashida"/>
        <w:rPr>
          <w:rFonts w:ascii="Sakkal Majalla" w:hAnsi="Sakkal Majalla" w:cs="Sakkal Majalla"/>
          <w:b/>
          <w:bCs/>
          <w:sz w:val="32"/>
          <w:szCs w:val="32"/>
        </w:rPr>
      </w:pPr>
      <w:r w:rsidRPr="00863B82">
        <w:rPr>
          <w:rFonts w:ascii="Sakkal Majalla" w:hAnsi="Sakkal Majalla" w:cs="Sakkal Majalla"/>
          <w:b/>
          <w:bCs/>
          <w:sz w:val="32"/>
          <w:szCs w:val="32"/>
        </w:rPr>
        <w:t>Its procedures conclude with:</w:t>
      </w:r>
    </w:p>
    <w:p w14:paraId="15EABB55" w14:textId="77777777" w:rsidR="002F028F" w:rsidRPr="00863B82" w:rsidRDefault="002F028F" w:rsidP="0085624E">
      <w:pPr>
        <w:pStyle w:val="ListParagraph"/>
        <w:numPr>
          <w:ilvl w:val="0"/>
          <w:numId w:val="63"/>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 xml:space="preserve">Providing recommendations to the responsible administrative body to remedy the situation or compensate the affected </w:t>
      </w:r>
      <w:proofErr w:type="gramStart"/>
      <w:r w:rsidRPr="00863B82">
        <w:rPr>
          <w:rFonts w:ascii="Sakkal Majalla" w:hAnsi="Sakkal Majalla" w:cs="Sakkal Majalla"/>
          <w:sz w:val="32"/>
          <w:szCs w:val="32"/>
        </w:rPr>
        <w:t>individual;</w:t>
      </w:r>
      <w:proofErr w:type="gramEnd"/>
    </w:p>
    <w:p w14:paraId="69216EDD" w14:textId="77777777" w:rsidR="002F028F" w:rsidRPr="00863B82" w:rsidRDefault="002F028F" w:rsidP="0085624E">
      <w:pPr>
        <w:pStyle w:val="ListParagraph"/>
        <w:numPr>
          <w:ilvl w:val="0"/>
          <w:numId w:val="63"/>
        </w:numPr>
        <w:bidi w:val="0"/>
        <w:spacing w:after="0" w:line="360" w:lineRule="auto"/>
        <w:jc w:val="lowKashida"/>
        <w:rPr>
          <w:rFonts w:ascii="Sakkal Majalla" w:hAnsi="Sakkal Majalla" w:cs="Sakkal Majalla"/>
          <w:sz w:val="32"/>
          <w:szCs w:val="32"/>
        </w:rPr>
      </w:pPr>
      <w:proofErr w:type="gramStart"/>
      <w:r w:rsidRPr="00863B82">
        <w:rPr>
          <w:rFonts w:ascii="Sakkal Majalla" w:hAnsi="Sakkal Majalla" w:cs="Sakkal Majalla"/>
          <w:sz w:val="32"/>
          <w:szCs w:val="32"/>
        </w:rPr>
        <w:t>Referring</w:t>
      </w:r>
      <w:proofErr w:type="gramEnd"/>
      <w:r w:rsidRPr="00863B82">
        <w:rPr>
          <w:rFonts w:ascii="Sakkal Majalla" w:hAnsi="Sakkal Majalla" w:cs="Sakkal Majalla"/>
          <w:sz w:val="32"/>
          <w:szCs w:val="32"/>
        </w:rPr>
        <w:t xml:space="preserve"> cases that involve potential criminal conduct to the Public </w:t>
      </w:r>
      <w:proofErr w:type="gramStart"/>
      <w:r w:rsidRPr="00863B82">
        <w:rPr>
          <w:rFonts w:ascii="Sakkal Majalla" w:hAnsi="Sakkal Majalla" w:cs="Sakkal Majalla"/>
          <w:sz w:val="32"/>
          <w:szCs w:val="32"/>
        </w:rPr>
        <w:t>Prosecution;</w:t>
      </w:r>
      <w:proofErr w:type="gramEnd"/>
    </w:p>
    <w:p w14:paraId="42A6FCF6" w14:textId="77777777" w:rsidR="002F028F" w:rsidRPr="00863B82" w:rsidRDefault="002F028F" w:rsidP="0085624E">
      <w:pPr>
        <w:pStyle w:val="ListParagraph"/>
        <w:numPr>
          <w:ilvl w:val="0"/>
          <w:numId w:val="63"/>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Issuing annual and thematic reports containing general reform recommendations.</w:t>
      </w:r>
    </w:p>
    <w:p w14:paraId="1B4339B1"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This model has become well-established in many countries and is used as a reference point when assessing oversight mechanisms for police agencies. United Nations reports confirm that the Ombudsman’s Office in Bahrain operates in a manner consistent with internationally recognised Ombudsman offices, through:</w:t>
      </w:r>
    </w:p>
    <w:p w14:paraId="7D090A59"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a. Receiving complaints from inmates, detainees, their families, and civil society organisations, via:</w:t>
      </w:r>
    </w:p>
    <w:p w14:paraId="5EDEEA5F" w14:textId="77777777" w:rsidR="002F028F" w:rsidRPr="00863B82" w:rsidRDefault="002F028F" w:rsidP="0085624E">
      <w:pPr>
        <w:pStyle w:val="ListParagraph"/>
        <w:numPr>
          <w:ilvl w:val="0"/>
          <w:numId w:val="64"/>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Independent complaint boxes in places of </w:t>
      </w:r>
      <w:proofErr w:type="gramStart"/>
      <w:r w:rsidRPr="00863B82">
        <w:rPr>
          <w:rFonts w:ascii="Sakkal Majalla" w:hAnsi="Sakkal Majalla" w:cs="Sakkal Majalla"/>
          <w:sz w:val="32"/>
          <w:szCs w:val="32"/>
        </w:rPr>
        <w:t>detention;</w:t>
      </w:r>
      <w:proofErr w:type="gramEnd"/>
    </w:p>
    <w:p w14:paraId="28D22A09" w14:textId="77777777" w:rsidR="002F028F" w:rsidRPr="00863B82" w:rsidRDefault="002F028F" w:rsidP="0085624E">
      <w:pPr>
        <w:pStyle w:val="ListParagraph"/>
        <w:numPr>
          <w:ilvl w:val="0"/>
          <w:numId w:val="64"/>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Telephone </w:t>
      </w:r>
      <w:proofErr w:type="gramStart"/>
      <w:r w:rsidRPr="00863B82">
        <w:rPr>
          <w:rFonts w:ascii="Sakkal Majalla" w:hAnsi="Sakkal Majalla" w:cs="Sakkal Majalla"/>
          <w:sz w:val="32"/>
          <w:szCs w:val="32"/>
        </w:rPr>
        <w:t>calls;</w:t>
      </w:r>
      <w:proofErr w:type="gramEnd"/>
    </w:p>
    <w:p w14:paraId="21A367D9" w14:textId="77777777" w:rsidR="002F028F" w:rsidRPr="00863B82" w:rsidRDefault="002F028F" w:rsidP="0085624E">
      <w:pPr>
        <w:pStyle w:val="ListParagraph"/>
        <w:numPr>
          <w:ilvl w:val="0"/>
          <w:numId w:val="64"/>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Electronic means.</w:t>
      </w:r>
    </w:p>
    <w:p w14:paraId="14D3BBBD"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b. Conducting administrative investigations into:</w:t>
      </w:r>
    </w:p>
    <w:p w14:paraId="19D5F537" w14:textId="77777777" w:rsidR="002F028F" w:rsidRPr="00863B82" w:rsidRDefault="002F028F" w:rsidP="0085624E">
      <w:pPr>
        <w:pStyle w:val="ListParagraph"/>
        <w:numPr>
          <w:ilvl w:val="0"/>
          <w:numId w:val="65"/>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Allegations of torture, ill-treatment, or excessive use of </w:t>
      </w:r>
      <w:proofErr w:type="gramStart"/>
      <w:r w:rsidRPr="00863B82">
        <w:rPr>
          <w:rFonts w:ascii="Sakkal Majalla" w:hAnsi="Sakkal Majalla" w:cs="Sakkal Majalla"/>
          <w:sz w:val="32"/>
          <w:szCs w:val="32"/>
        </w:rPr>
        <w:t>force;</w:t>
      </w:r>
      <w:proofErr w:type="gramEnd"/>
    </w:p>
    <w:p w14:paraId="402CF142" w14:textId="77777777" w:rsidR="002F028F" w:rsidRPr="00863B82" w:rsidRDefault="002F028F" w:rsidP="0085624E">
      <w:pPr>
        <w:pStyle w:val="ListParagraph"/>
        <w:numPr>
          <w:ilvl w:val="0"/>
          <w:numId w:val="65"/>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Complaints concerning denial of healthcare, communication, or </w:t>
      </w:r>
      <w:proofErr w:type="gramStart"/>
      <w:r w:rsidRPr="00863B82">
        <w:rPr>
          <w:rFonts w:ascii="Sakkal Majalla" w:hAnsi="Sakkal Majalla" w:cs="Sakkal Majalla"/>
          <w:sz w:val="32"/>
          <w:szCs w:val="32"/>
        </w:rPr>
        <w:t>visitation;</w:t>
      </w:r>
      <w:proofErr w:type="gramEnd"/>
    </w:p>
    <w:p w14:paraId="1730463F" w14:textId="77777777" w:rsidR="002F028F" w:rsidRPr="00863B82" w:rsidRDefault="002F028F" w:rsidP="0085624E">
      <w:pPr>
        <w:pStyle w:val="ListParagraph"/>
        <w:numPr>
          <w:ilvl w:val="0"/>
          <w:numId w:val="65"/>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Announced and unannounced visits to reform and rehabilitation centres and detention facilities to review living conditions and standards of detention, and to meet inmates privately.</w:t>
      </w:r>
    </w:p>
    <w:p w14:paraId="3203AD7D"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c. Issuing published annual reports that include:</w:t>
      </w:r>
    </w:p>
    <w:p w14:paraId="52235CA4" w14:textId="77777777" w:rsidR="002F028F" w:rsidRPr="00863B82" w:rsidRDefault="002F028F" w:rsidP="0085624E">
      <w:pPr>
        <w:pStyle w:val="ListParagraph"/>
        <w:numPr>
          <w:ilvl w:val="0"/>
          <w:numId w:val="66"/>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Statistics on complaints and the outcomes of </w:t>
      </w:r>
      <w:proofErr w:type="gramStart"/>
      <w:r w:rsidRPr="00863B82">
        <w:rPr>
          <w:rFonts w:ascii="Sakkal Majalla" w:hAnsi="Sakkal Majalla" w:cs="Sakkal Majalla"/>
          <w:sz w:val="32"/>
          <w:szCs w:val="32"/>
        </w:rPr>
        <w:t>investigations;</w:t>
      </w:r>
      <w:proofErr w:type="gramEnd"/>
    </w:p>
    <w:p w14:paraId="31A5DD51" w14:textId="77777777" w:rsidR="002F028F" w:rsidRPr="00863B82" w:rsidRDefault="002F028F" w:rsidP="0085624E">
      <w:pPr>
        <w:pStyle w:val="ListParagraph"/>
        <w:numPr>
          <w:ilvl w:val="0"/>
          <w:numId w:val="66"/>
        </w:numPr>
        <w:bidi w:val="0"/>
        <w:spacing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Recommendations directed to the Ministry of </w:t>
      </w:r>
      <w:proofErr w:type="gramStart"/>
      <w:r w:rsidRPr="00863B82">
        <w:rPr>
          <w:rFonts w:ascii="Sakkal Majalla" w:hAnsi="Sakkal Majalla" w:cs="Sakkal Majalla"/>
          <w:sz w:val="32"/>
          <w:szCs w:val="32"/>
        </w:rPr>
        <w:t>Interior;</w:t>
      </w:r>
      <w:proofErr w:type="gramEnd"/>
    </w:p>
    <w:p w14:paraId="432828D1" w14:textId="77777777" w:rsidR="002F028F" w:rsidRPr="00863B82" w:rsidRDefault="002F028F" w:rsidP="0085624E">
      <w:pPr>
        <w:pStyle w:val="ListParagraph"/>
        <w:numPr>
          <w:ilvl w:val="0"/>
          <w:numId w:val="66"/>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Examples of individual cases and the corrective actions taken.</w:t>
      </w:r>
    </w:p>
    <w:p w14:paraId="76B2C332" w14:textId="77777777" w:rsidR="002F028F" w:rsidRPr="00863B82" w:rsidRDefault="002F028F" w:rsidP="0085624E">
      <w:pPr>
        <w:bidi w:val="0"/>
        <w:spacing w:before="240" w:after="240" w:line="360" w:lineRule="auto"/>
        <w:jc w:val="lowKashida"/>
        <w:rPr>
          <w:rFonts w:ascii="Sakkal Majalla" w:hAnsi="Sakkal Majalla" w:cs="Sakkal Majalla"/>
          <w:color w:val="FF0000"/>
          <w:sz w:val="32"/>
          <w:szCs w:val="32"/>
        </w:rPr>
      </w:pPr>
      <w:r w:rsidRPr="00863B82">
        <w:rPr>
          <w:rFonts w:ascii="Sakkal Majalla" w:hAnsi="Sakkal Majalla" w:cs="Sakkal Majalla"/>
          <w:sz w:val="32"/>
          <w:szCs w:val="32"/>
        </w:rPr>
        <w:t>d. Engaging in professional international cooperation through membership in the International Ombudsman Institute and participation in its networks and activities.</w:t>
      </w:r>
    </w:p>
    <w:p w14:paraId="42F75D3C"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All of this demonstrates that the Ombudsman’s Office does not function as an “internal inspection unit” within the Ministry of Interior, but rather as an Ombudsman institution that is qualitatively independent, in line with the recognised international model.</w:t>
      </w:r>
    </w:p>
    <w:p w14:paraId="61244388" w14:textId="77777777" w:rsidR="003F56B7"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During the review period,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received 1,512 complaints, which were examined and investigated. Of these, 323 cases—approximately 21% of the total—were referred to the competent disciplinary authorities, the Public Prosecution, or the Special Investigation Unit. The Office also received 2,686 requests for assistance from inmates and their families relating to humanitarian or administrative matters that do not concern legal rights, such </w:t>
      </w:r>
      <w:r w:rsidRPr="00863B82">
        <w:rPr>
          <w:rFonts w:ascii="Sakkal Majalla" w:hAnsi="Sakkal Majalla" w:cs="Sakkal Majalla"/>
          <w:sz w:val="32"/>
          <w:szCs w:val="32"/>
        </w:rPr>
        <w:lastRenderedPageBreak/>
        <w:t>as requests for additional visits, telephone calls, or the renewal of official documents. This reflects continued confidence in the effectiveness and independence of the Ombudsman’s Office.</w:t>
      </w:r>
      <w:bookmarkStart w:id="11" w:name="_tjoo2ggf1fda" w:colFirst="0" w:colLast="0"/>
      <w:bookmarkEnd w:id="11"/>
    </w:p>
    <w:p w14:paraId="46106833" w14:textId="148F866A"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b/>
          <w:bCs/>
          <w:sz w:val="32"/>
          <w:szCs w:val="32"/>
        </w:rPr>
        <w:t>Fourth: Why Does the Ombudsman’s Office Not Conduct Judicial Investigations?</w:t>
      </w:r>
    </w:p>
    <w:p w14:paraId="7E7A3BB9"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notes that, </w:t>
      </w: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the point concerning its lack of authority to initiate judicial proceedings, this issue must be understood from both a legislative and a practical perspective:</w:t>
      </w:r>
    </w:p>
    <w:p w14:paraId="7482B41B" w14:textId="77777777" w:rsidR="001C7713" w:rsidRPr="00863B82" w:rsidRDefault="002F028F" w:rsidP="0085624E">
      <w:pPr>
        <w:pStyle w:val="ListParagraph"/>
        <w:numPr>
          <w:ilvl w:val="0"/>
          <w:numId w:val="67"/>
        </w:numPr>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Legislative</w:t>
      </w:r>
      <w:r w:rsidR="00D92BCC" w:rsidRPr="00863B82">
        <w:rPr>
          <w:rFonts w:ascii="Sakkal Majalla" w:hAnsi="Sakkal Majalla" w:cs="Sakkal Majalla"/>
          <w:sz w:val="32"/>
          <w:szCs w:val="32"/>
        </w:rPr>
        <w:t xml:space="preserve"> </w:t>
      </w:r>
      <w:r w:rsidRPr="00863B82">
        <w:rPr>
          <w:rFonts w:ascii="Sakkal Majalla" w:hAnsi="Sakkal Majalla" w:cs="Sakkal Majalla"/>
          <w:sz w:val="32"/>
          <w:szCs w:val="32"/>
        </w:rPr>
        <w:t>framework:</w:t>
      </w:r>
    </w:p>
    <w:p w14:paraId="32522830" w14:textId="55446405" w:rsidR="002F028F" w:rsidRPr="00863B82" w:rsidRDefault="002F028F" w:rsidP="0085624E">
      <w:pPr>
        <w:pStyle w:val="ListParagraph"/>
        <w:bidi w:val="0"/>
        <w:spacing w:before="240" w:after="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Decree No. 27 of 2012 grants the Ombudsman’s Office the authority to refer cases to the Public Prosecution where the conduct in question constitutes a criminal offence. If the conduct does not amount to a criminal offence but is instead a disciplinary violation, the case is referred </w:t>
      </w:r>
      <w:proofErr w:type="gramStart"/>
      <w:r w:rsidRPr="00863B82">
        <w:rPr>
          <w:rFonts w:ascii="Sakkal Majalla" w:hAnsi="Sakkal Majalla" w:cs="Sakkal Majalla"/>
          <w:sz w:val="32"/>
          <w:szCs w:val="32"/>
        </w:rPr>
        <w:t>to</w:t>
      </w:r>
      <w:proofErr w:type="gramEnd"/>
      <w:r w:rsidRPr="00863B82">
        <w:rPr>
          <w:rFonts w:ascii="Sakkal Majalla" w:hAnsi="Sakkal Majalla" w:cs="Sakkal Majalla"/>
          <w:sz w:val="32"/>
          <w:szCs w:val="32"/>
        </w:rPr>
        <w:t xml:space="preserve"> the military courts, which are the competent disciplinary authority for imposing disciplinary sanctions.</w:t>
      </w:r>
    </w:p>
    <w:p w14:paraId="1FD5FBDA" w14:textId="77777777" w:rsidR="00CE1012" w:rsidRPr="00863B82" w:rsidRDefault="002F028F" w:rsidP="0085624E">
      <w:pPr>
        <w:pStyle w:val="ListParagraph"/>
        <w:numPr>
          <w:ilvl w:val="0"/>
          <w:numId w:val="67"/>
        </w:numPr>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Practical framework:</w:t>
      </w:r>
    </w:p>
    <w:p w14:paraId="14DC7635" w14:textId="6F2B9A42" w:rsidR="002F028F" w:rsidRPr="00863B82" w:rsidRDefault="002F028F" w:rsidP="0085624E">
      <w:pPr>
        <w:pStyle w:val="ListParagraph"/>
        <w:bidi w:val="0"/>
        <w:spacing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has, in practice, </w:t>
      </w:r>
      <w:proofErr w:type="gramStart"/>
      <w:r w:rsidRPr="00863B82">
        <w:rPr>
          <w:rFonts w:ascii="Sakkal Majalla" w:hAnsi="Sakkal Majalla" w:cs="Sakkal Majalla"/>
          <w:sz w:val="32"/>
          <w:szCs w:val="32"/>
        </w:rPr>
        <w:t>referred</w:t>
      </w:r>
      <w:proofErr w:type="gramEnd"/>
      <w:r w:rsidRPr="00863B82">
        <w:rPr>
          <w:rFonts w:ascii="Sakkal Majalla" w:hAnsi="Sakkal Majalla" w:cs="Sakkal Majalla"/>
          <w:sz w:val="32"/>
          <w:szCs w:val="32"/>
        </w:rPr>
        <w:t xml:space="preserve"> a significant number of complaints—where its investigations identified indications of potential criminal conduct—to the Special Investigation Unit of the Public Prosecution. In fact, the percentage of complaints referred to the Special Investigation Unit is twice the percentage of complaints referred to the military courts during the period 2020 to 2024.</w:t>
      </w:r>
    </w:p>
    <w:p w14:paraId="68AF8EA4"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Regarding the observation that the majority of complaints before the Ombudsman’s Office are closed without referral, the Office notes that during the review period it received 1,512 complaints, all of which were examined and investigated, and 323 cases—approximately 21% of the total—were referred to the competent disciplinary bodies, the Public Prosecution, or the Special Investigation Unit.</w:t>
      </w:r>
    </w:p>
    <w:p w14:paraId="32001D0B"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the complaints that were closed, this is due to the Ombudsman’s Office conducting its investigations with complete impartiality, after reviewing all relevant documents, hearing witnesses and the parties involved, and relying on technical evidence. These steps may demonstrate that the allegation is unfounded or that the conduct does not amount to an actionable offence, requiring the Office to decide on closure.</w:t>
      </w:r>
    </w:p>
    <w:p w14:paraId="49670550"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It should also be noted that closure does not prevent the Ombudsman from issuing general recommendations aimed at improving the performance of the authority concerned by the complaint, or from recommending measures to protect both parties </w:t>
      </w:r>
      <w:proofErr w:type="gramStart"/>
      <w:r w:rsidRPr="00863B82">
        <w:rPr>
          <w:rFonts w:ascii="Sakkal Majalla" w:hAnsi="Sakkal Majalla" w:cs="Sakkal Majalla"/>
          <w:sz w:val="32"/>
          <w:szCs w:val="32"/>
        </w:rPr>
        <w:t>to</w:t>
      </w:r>
      <w:proofErr w:type="gramEnd"/>
      <w:r w:rsidRPr="00863B82">
        <w:rPr>
          <w:rFonts w:ascii="Sakkal Majalla" w:hAnsi="Sakkal Majalla" w:cs="Sakkal Majalla"/>
          <w:sz w:val="32"/>
          <w:szCs w:val="32"/>
        </w:rPr>
        <w:t xml:space="preserve"> the complaint, such as ensuring the presence of CCTV cameras in interview and investigation rooms.</w:t>
      </w:r>
    </w:p>
    <w:p w14:paraId="1043B17F" w14:textId="77777777" w:rsidR="002F028F" w:rsidRPr="00863B82" w:rsidRDefault="002F028F" w:rsidP="0085624E">
      <w:pPr>
        <w:bidi w:val="0"/>
        <w:spacing w:before="240" w:after="240" w:line="360" w:lineRule="auto"/>
        <w:jc w:val="lowKashida"/>
        <w:rPr>
          <w:rFonts w:ascii="Sakkal Majalla" w:hAnsi="Sakkal Majalla" w:cs="Sakkal Majalla"/>
          <w:b/>
          <w:bCs/>
          <w:sz w:val="32"/>
          <w:szCs w:val="32"/>
        </w:rPr>
      </w:pPr>
      <w:r w:rsidRPr="00863B82">
        <w:rPr>
          <w:rFonts w:ascii="Sakkal Majalla" w:hAnsi="Sakkal Majalla" w:cs="Sakkal Majalla"/>
          <w:b/>
          <w:bCs/>
          <w:sz w:val="32"/>
          <w:szCs w:val="32"/>
        </w:rPr>
        <w:t xml:space="preserve">Distinguishing Between Administrative Investigations and Judicial Investigations: </w:t>
      </w:r>
    </w:p>
    <w:p w14:paraId="339B5FD1" w14:textId="77777777" w:rsidR="00CE1012"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In modern legal systems, including the Bahraini system, there is a clear distinction between:</w:t>
      </w:r>
      <w:bookmarkStart w:id="12" w:name="_oesayxjlxppt" w:colFirst="0" w:colLast="0"/>
      <w:bookmarkEnd w:id="12"/>
    </w:p>
    <w:p w14:paraId="7976DE3F" w14:textId="4A8035C3"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b/>
          <w:bCs/>
          <w:color w:val="000000"/>
          <w:sz w:val="32"/>
          <w:szCs w:val="32"/>
        </w:rPr>
        <w:t>1. Administrative / Ombudsman-type Investigation</w:t>
      </w:r>
    </w:p>
    <w:p w14:paraId="60391510"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This is conducted by oversight bodies, Ombudsman institutions, or inspection authorities. Its purpose is to review the conduct of officials, identify institutional shortcomings, propose reforms, and provide administrative remedies to the affected person. It does not result in criminal convictions, judicial rulings, or custodial penalties.</w:t>
      </w:r>
    </w:p>
    <w:p w14:paraId="08EA0286" w14:textId="77777777" w:rsidR="002F028F" w:rsidRPr="00863B82" w:rsidRDefault="002F028F" w:rsidP="0085624E">
      <w:pPr>
        <w:pStyle w:val="Heading3"/>
        <w:keepNext w:val="0"/>
        <w:keepLines w:val="0"/>
        <w:bidi w:val="0"/>
        <w:spacing w:before="280" w:line="360" w:lineRule="auto"/>
        <w:jc w:val="lowKashida"/>
        <w:rPr>
          <w:rFonts w:ascii="Sakkal Majalla" w:hAnsi="Sakkal Majalla" w:cs="Sakkal Majalla"/>
          <w:b/>
          <w:bCs/>
          <w:color w:val="000000"/>
          <w:sz w:val="32"/>
          <w:szCs w:val="32"/>
        </w:rPr>
      </w:pPr>
      <w:bookmarkStart w:id="13" w:name="_48ivhc9ei3ye" w:colFirst="0" w:colLast="0"/>
      <w:bookmarkEnd w:id="13"/>
      <w:r w:rsidRPr="00863B82">
        <w:rPr>
          <w:rFonts w:ascii="Sakkal Majalla" w:hAnsi="Sakkal Majalla" w:cs="Sakkal Majalla"/>
          <w:b/>
          <w:bCs/>
          <w:color w:val="000000"/>
          <w:sz w:val="32"/>
          <w:szCs w:val="32"/>
        </w:rPr>
        <w:t>2. Judicial (Criminal) Investigation</w:t>
      </w:r>
    </w:p>
    <w:p w14:paraId="146F7DE3" w14:textId="77777777"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This is conducted by the Public Prosecution, the Special Investigation Unit, </w:t>
      </w:r>
      <w:proofErr w:type="gramStart"/>
      <w:r w:rsidRPr="00863B82">
        <w:rPr>
          <w:rFonts w:ascii="Sakkal Majalla" w:hAnsi="Sakkal Majalla" w:cs="Sakkal Majalla"/>
          <w:sz w:val="32"/>
          <w:szCs w:val="32"/>
        </w:rPr>
        <w:t>or</w:t>
      </w:r>
      <w:proofErr w:type="gramEnd"/>
      <w:r w:rsidRPr="00863B82">
        <w:rPr>
          <w:rFonts w:ascii="Sakkal Majalla" w:hAnsi="Sakkal Majalla" w:cs="Sakkal Majalla"/>
          <w:sz w:val="32"/>
          <w:szCs w:val="32"/>
        </w:rPr>
        <w:t xml:space="preserve"> other competent judicial bodies. Its purpose is to determine individual criminal responsibility and to refer accused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to the courts. It results in judgments of conviction or acquittal and the imposition of criminal penalties in accordance with the Criminal Procedure Law.</w:t>
      </w:r>
    </w:p>
    <w:p w14:paraId="4C5BE4F7" w14:textId="77777777" w:rsidR="00B2230D"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t>This separation is essential to safeguard the independence of the judiciary on the one hand, and to preserve the flexibility and functional role of complaint-handling bodies on the other.</w:t>
      </w:r>
      <w:bookmarkStart w:id="14" w:name="_2rpm57n3nfi5" w:colFirst="0" w:colLast="0"/>
      <w:bookmarkEnd w:id="14"/>
    </w:p>
    <w:p w14:paraId="119F62DE" w14:textId="77777777" w:rsidR="00B2230D"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b/>
          <w:bCs/>
          <w:sz w:val="32"/>
          <w:szCs w:val="32"/>
        </w:rPr>
        <w:t>The Position of the Ombudsman’s Office Within This Framework:</w:t>
      </w:r>
      <w:r w:rsidRPr="00863B82">
        <w:rPr>
          <w:rFonts w:ascii="Sakkal Majalla" w:hAnsi="Sakkal Majalla" w:cs="Sakkal Majalla"/>
          <w:sz w:val="32"/>
          <w:szCs w:val="32"/>
        </w:rPr>
        <w:t xml:space="preserve"> Under Bahraini legislation, the Ombudsman’s Office conducts administrative investigations into incidents and complaints. If its findings indicate a potential criminal offence (such as torture, ill-treatment, or a death in custody), it refers the case file to the Public Prosecution or to the Special Investigation Unit, which have the criminal jurisdiction. The Ombudsman’s Office follows up with these authorities on the progress of the investigation, but it does not replace them nor exercise their powers.</w:t>
      </w:r>
    </w:p>
    <w:p w14:paraId="45042AD3" w14:textId="47187DD0" w:rsidR="002F028F" w:rsidRPr="00863B82" w:rsidRDefault="002F028F" w:rsidP="0085624E">
      <w:pPr>
        <w:bidi w:val="0"/>
        <w:spacing w:before="240" w:after="240" w:line="36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The Ombudsman’s Office does not have the authority to:</w:t>
      </w:r>
    </w:p>
    <w:p w14:paraId="4BEBB552" w14:textId="77777777" w:rsidR="002F028F" w:rsidRPr="00863B82" w:rsidRDefault="002F028F" w:rsidP="0085624E">
      <w:pPr>
        <w:pStyle w:val="ListParagraph"/>
        <w:numPr>
          <w:ilvl w:val="0"/>
          <w:numId w:val="68"/>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Initiate criminal </w:t>
      </w:r>
      <w:proofErr w:type="gramStart"/>
      <w:r w:rsidRPr="00863B82">
        <w:rPr>
          <w:rFonts w:ascii="Sakkal Majalla" w:hAnsi="Sakkal Majalla" w:cs="Sakkal Majalla"/>
          <w:sz w:val="32"/>
          <w:szCs w:val="32"/>
        </w:rPr>
        <w:t>proceedings;</w:t>
      </w:r>
      <w:proofErr w:type="gramEnd"/>
    </w:p>
    <w:p w14:paraId="2C97EE5F" w14:textId="77777777" w:rsidR="002F028F" w:rsidRPr="00863B82" w:rsidRDefault="002F028F" w:rsidP="0085624E">
      <w:pPr>
        <w:pStyle w:val="ListParagraph"/>
        <w:numPr>
          <w:ilvl w:val="0"/>
          <w:numId w:val="68"/>
        </w:numPr>
        <w:bidi w:val="0"/>
        <w:jc w:val="lowKashida"/>
        <w:rPr>
          <w:rFonts w:ascii="Sakkal Majalla" w:hAnsi="Sakkal Majalla" w:cs="Sakkal Majalla"/>
          <w:sz w:val="32"/>
          <w:szCs w:val="32"/>
        </w:rPr>
      </w:pPr>
      <w:r w:rsidRPr="00863B82">
        <w:rPr>
          <w:rFonts w:ascii="Sakkal Majalla" w:hAnsi="Sakkal Majalla" w:cs="Sakkal Majalla"/>
          <w:sz w:val="32"/>
          <w:szCs w:val="32"/>
        </w:rPr>
        <w:t xml:space="preserve">Issue arrest or detention </w:t>
      </w:r>
      <w:proofErr w:type="gramStart"/>
      <w:r w:rsidRPr="00863B82">
        <w:rPr>
          <w:rFonts w:ascii="Sakkal Majalla" w:hAnsi="Sakkal Majalla" w:cs="Sakkal Majalla"/>
          <w:sz w:val="32"/>
          <w:szCs w:val="32"/>
        </w:rPr>
        <w:t>orders;</w:t>
      </w:r>
      <w:proofErr w:type="gramEnd"/>
    </w:p>
    <w:p w14:paraId="5BA07559" w14:textId="77777777" w:rsidR="002F028F" w:rsidRPr="00863B82" w:rsidRDefault="002F028F" w:rsidP="0085624E">
      <w:pPr>
        <w:pStyle w:val="ListParagraph"/>
        <w:numPr>
          <w:ilvl w:val="0"/>
          <w:numId w:val="68"/>
        </w:numPr>
        <w:bidi w:val="0"/>
        <w:jc w:val="lowKashida"/>
        <w:rPr>
          <w:rFonts w:ascii="Sakkal Majalla" w:hAnsi="Sakkal Majalla" w:cs="Sakkal Majalla"/>
          <w:sz w:val="32"/>
          <w:szCs w:val="32"/>
        </w:rPr>
      </w:pPr>
      <w:bookmarkStart w:id="15" w:name="_tupa81ccgz0p" w:colFirst="0" w:colLast="0"/>
      <w:bookmarkEnd w:id="15"/>
      <w:r w:rsidRPr="00863B82">
        <w:rPr>
          <w:rFonts w:ascii="Sakkal Majalla" w:hAnsi="Sakkal Majalla" w:cs="Sakkal Majalla"/>
          <w:sz w:val="32"/>
          <w:szCs w:val="32"/>
        </w:rPr>
        <w:t>Issue judgments of conviction or acquittal.</w:t>
      </w:r>
    </w:p>
    <w:p w14:paraId="35C2B212"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Accordingly, the fact that the Ombudsman’s Office does not conduct judicial investigations is not a deficiency; it is a deliberate feature of the model. The Office is an oversight and preventive mechanism that supports victims — it is not a judicial authority that competes with the Public Prosecution or the courts.</w:t>
      </w:r>
    </w:p>
    <w:p w14:paraId="0936351C"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Ombudsman’s position within this “quasi-judicial” space provides several advantages:</w:t>
      </w:r>
    </w:p>
    <w:p w14:paraId="7FA01B1B" w14:textId="77777777" w:rsidR="002F028F" w:rsidRPr="00863B82" w:rsidRDefault="002F028F" w:rsidP="0085624E">
      <w:pPr>
        <w:numPr>
          <w:ilvl w:val="0"/>
          <w:numId w:val="43"/>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Accessibility and flexibility: inmates, their families, and civil society organisations can approach the Ombudsman with less formality than is required before the courts, and through simpler and quicker procedures.</w:t>
      </w:r>
    </w:p>
    <w:p w14:paraId="3C3CD3E5" w14:textId="77777777" w:rsidR="002F028F" w:rsidRPr="00863B82" w:rsidRDefault="002F028F" w:rsidP="0085624E">
      <w:pPr>
        <w:numPr>
          <w:ilvl w:val="0"/>
          <w:numId w:val="43"/>
        </w:numPr>
        <w:bidi w:val="0"/>
        <w:spacing w:after="0"/>
        <w:jc w:val="lowKashida"/>
        <w:rPr>
          <w:rFonts w:ascii="Sakkal Majalla" w:hAnsi="Sakkal Majalla" w:cs="Sakkal Majalla"/>
          <w:sz w:val="32"/>
          <w:szCs w:val="32"/>
        </w:rPr>
      </w:pPr>
      <w:r w:rsidRPr="00863B82">
        <w:rPr>
          <w:rFonts w:ascii="Sakkal Majalla" w:hAnsi="Sakkal Majalla" w:cs="Sakkal Majalla"/>
          <w:sz w:val="32"/>
          <w:szCs w:val="32"/>
        </w:rPr>
        <w:t>Institutional remedies: the Ombudsman focuses not only on the conduct of individual officers but also on addressing institutional shortcomings, including improving internal policies and procedures within the Ministry of Interior and detention facilities.</w:t>
      </w:r>
    </w:p>
    <w:p w14:paraId="0499C00D" w14:textId="77777777" w:rsidR="002F028F" w:rsidRPr="00863B82" w:rsidRDefault="002F028F" w:rsidP="0085624E">
      <w:pPr>
        <w:numPr>
          <w:ilvl w:val="0"/>
          <w:numId w:val="43"/>
        </w:numPr>
        <w:bidi w:val="0"/>
        <w:spacing w:after="0"/>
        <w:jc w:val="lowKashida"/>
        <w:rPr>
          <w:rFonts w:ascii="Sakkal Majalla" w:hAnsi="Sakkal Majalla" w:cs="Sakkal Majalla"/>
          <w:sz w:val="32"/>
          <w:szCs w:val="32"/>
        </w:rPr>
      </w:pPr>
      <w:proofErr w:type="gramStart"/>
      <w:r w:rsidRPr="00863B82">
        <w:rPr>
          <w:rFonts w:ascii="Sakkal Majalla" w:hAnsi="Sakkal Majalla" w:cs="Sakkal Majalla"/>
          <w:sz w:val="32"/>
          <w:szCs w:val="32"/>
        </w:rPr>
        <w:t>Complementarity of</w:t>
      </w:r>
      <w:proofErr w:type="gramEnd"/>
      <w:r w:rsidRPr="00863B82">
        <w:rPr>
          <w:rFonts w:ascii="Sakkal Majalla" w:hAnsi="Sakkal Majalla" w:cs="Sakkal Majalla"/>
          <w:sz w:val="32"/>
          <w:szCs w:val="32"/>
        </w:rPr>
        <w:t xml:space="preserve"> roles: the Ombudsman monitors, investigates administratively, and issues recommendations; the Special Investigation Unit and the Public Prosecution initiate and pursue criminal proceedings; and the judiciary adjudicates disputes and issues criminal penalties and compensation orders.</w:t>
      </w:r>
    </w:p>
    <w:p w14:paraId="0FC54E5B" w14:textId="77777777" w:rsidR="00601128" w:rsidRPr="00863B82" w:rsidRDefault="002F028F" w:rsidP="0085624E">
      <w:pPr>
        <w:numPr>
          <w:ilvl w:val="0"/>
          <w:numId w:val="43"/>
        </w:numPr>
        <w:bidi w:val="0"/>
        <w:spacing w:after="240"/>
        <w:jc w:val="lowKashida"/>
        <w:rPr>
          <w:rFonts w:ascii="Sakkal Majalla" w:hAnsi="Sakkal Majalla" w:cs="Sakkal Majalla"/>
          <w:sz w:val="32"/>
          <w:szCs w:val="32"/>
        </w:rPr>
      </w:pPr>
      <w:r w:rsidRPr="00863B82">
        <w:rPr>
          <w:rFonts w:ascii="Sakkal Majalla" w:hAnsi="Sakkal Majalla" w:cs="Sakkal Majalla"/>
          <w:sz w:val="32"/>
          <w:szCs w:val="32"/>
        </w:rPr>
        <w:t xml:space="preserve">Additional safeguard for victims: victims </w:t>
      </w:r>
      <w:proofErr w:type="gramStart"/>
      <w:r w:rsidRPr="00863B82">
        <w:rPr>
          <w:rFonts w:ascii="Sakkal Majalla" w:hAnsi="Sakkal Majalla" w:cs="Sakkal Majalla"/>
          <w:sz w:val="32"/>
          <w:szCs w:val="32"/>
        </w:rPr>
        <w:t>are able to</w:t>
      </w:r>
      <w:proofErr w:type="gramEnd"/>
      <w:r w:rsidRPr="00863B82">
        <w:rPr>
          <w:rFonts w:ascii="Sakkal Majalla" w:hAnsi="Sakkal Majalla" w:cs="Sakkal Majalla"/>
          <w:sz w:val="32"/>
          <w:szCs w:val="32"/>
        </w:rPr>
        <w:t xml:space="preserve"> approach the Ombudsman’s Office, the Public Prosecution or the Special Investigation Unit, and the National Institution for Human Rights simultaneously, each within its respective mandate.</w:t>
      </w:r>
      <w:bookmarkStart w:id="16" w:name="_5s33fj2jfr1a" w:colFirst="0" w:colLast="0"/>
      <w:bookmarkEnd w:id="16"/>
    </w:p>
    <w:p w14:paraId="46CA385F" w14:textId="77777777" w:rsidR="00601128" w:rsidRPr="00863B82" w:rsidRDefault="002F028F" w:rsidP="0085624E">
      <w:pPr>
        <w:bidi w:val="0"/>
        <w:spacing w:after="240"/>
        <w:jc w:val="lowKashida"/>
        <w:rPr>
          <w:rFonts w:ascii="Sakkal Majalla" w:hAnsi="Sakkal Majalla" w:cs="Sakkal Majalla"/>
          <w:b/>
          <w:bCs/>
          <w:sz w:val="32"/>
          <w:szCs w:val="32"/>
        </w:rPr>
      </w:pPr>
      <w:r w:rsidRPr="00863B82">
        <w:rPr>
          <w:rFonts w:ascii="Sakkal Majalla" w:hAnsi="Sakkal Majalla" w:cs="Sakkal Majalla"/>
          <w:b/>
          <w:bCs/>
          <w:sz w:val="32"/>
          <w:szCs w:val="32"/>
        </w:rPr>
        <w:lastRenderedPageBreak/>
        <w:t>Fifth: Indicators of Effectiveness – Figures, Statistics and Examples</w:t>
      </w:r>
      <w:bookmarkStart w:id="17" w:name="_7g87sz1db0r8" w:colFirst="0" w:colLast="0"/>
      <w:bookmarkEnd w:id="17"/>
    </w:p>
    <w:p w14:paraId="7E516517" w14:textId="05D13AD2" w:rsidR="002F028F" w:rsidRPr="00863B82" w:rsidRDefault="002F028F" w:rsidP="0085624E">
      <w:pPr>
        <w:bidi w:val="0"/>
        <w:spacing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1. General statistics on complaints and requests for assistance</w:t>
      </w:r>
    </w:p>
    <w:p w14:paraId="13A016AC"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Reports issued by the Ombudsman’s Office and by the United Nations show that the volume of work undertaken by the Office is substantial and continues to grow. For example, during its early years of operation (approximately from May 2013 to April 2017), the Office received more than 1,400 individual complaints, over 2,200 requests for assistance, and </w:t>
      </w:r>
      <w:proofErr w:type="gramStart"/>
      <w:r w:rsidRPr="00863B82">
        <w:rPr>
          <w:rFonts w:ascii="Sakkal Majalla" w:hAnsi="Sakkal Majalla" w:cs="Sakkal Majalla"/>
          <w:sz w:val="32"/>
          <w:szCs w:val="32"/>
        </w:rPr>
        <w:t>a number of</w:t>
      </w:r>
      <w:proofErr w:type="gramEnd"/>
      <w:r w:rsidRPr="00863B82">
        <w:rPr>
          <w:rFonts w:ascii="Sakkal Majalla" w:hAnsi="Sakkal Majalla" w:cs="Sakkal Majalla"/>
          <w:sz w:val="32"/>
          <w:szCs w:val="32"/>
        </w:rPr>
        <w:t xml:space="preserve"> </w:t>
      </w:r>
      <w:proofErr w:type="gramStart"/>
      <w:r w:rsidRPr="00863B82">
        <w:rPr>
          <w:rFonts w:ascii="Sakkal Majalla" w:hAnsi="Sakkal Majalla" w:cs="Sakkal Majalla"/>
          <w:sz w:val="32"/>
          <w:szCs w:val="32"/>
        </w:rPr>
        <w:t>ex officio</w:t>
      </w:r>
      <w:proofErr w:type="gramEnd"/>
      <w:r w:rsidRPr="00863B82">
        <w:rPr>
          <w:rFonts w:ascii="Sakkal Majalla" w:hAnsi="Sakkal Majalla" w:cs="Sakkal Majalla"/>
          <w:sz w:val="32"/>
          <w:szCs w:val="32"/>
        </w:rPr>
        <w:t xml:space="preserve"> investigations, particularly in cases involving deaths or serious allegations.</w:t>
      </w:r>
    </w:p>
    <w:p w14:paraId="7F928CF0"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According to more recent data, the Ombudsman’s Office has received a total of approximately 9,800 complaints since its establishment and up to 2025. It is notable that around one-third of complainants (approximately 33%) submitted more than one complaint on different matters, which is an indicator of trust and continued engagement with the Office.</w:t>
      </w:r>
    </w:p>
    <w:p w14:paraId="3435C5D4"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During a recent review period, around 1,512 complaints were registered, of which approximately 323 were referred to disciplinary authorities, the Public Prosecution or the Special Investigation Unit — a referral rate of around 21%. This reflects the seriousness with which complaints are handled and shows that the Office does not simply close cases without further action.</w:t>
      </w:r>
    </w:p>
    <w:p w14:paraId="4E684232" w14:textId="77777777" w:rsidR="0060112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In addition, the Office received approximately 2,686 requests for assistance relating to humanitarian or administrative arrangements (such as additional visits, telephone calls, renewal of documents, transferring an inmate for medical reasons, and similar matters), demonstrating its role as a humanitarian point of contact between inmates and the administration.</w:t>
      </w:r>
      <w:bookmarkStart w:id="18" w:name="_6wx28jb30hcy" w:colFirst="0" w:colLast="0"/>
      <w:bookmarkEnd w:id="18"/>
    </w:p>
    <w:p w14:paraId="45013BEC" w14:textId="678E0525" w:rsidR="002F028F" w:rsidRPr="00863B82" w:rsidRDefault="002F028F" w:rsidP="0085624E">
      <w:pPr>
        <w:bidi w:val="0"/>
        <w:spacing w:before="240" w:after="240"/>
        <w:jc w:val="lowKashida"/>
        <w:rPr>
          <w:rFonts w:ascii="Sakkal Majalla" w:hAnsi="Sakkal Majalla" w:cs="Sakkal Majalla"/>
          <w:color w:val="FF0000"/>
          <w:sz w:val="32"/>
          <w:szCs w:val="32"/>
        </w:rPr>
      </w:pPr>
      <w:r w:rsidRPr="00863B82">
        <w:rPr>
          <w:rFonts w:ascii="Sakkal Majalla" w:hAnsi="Sakkal Majalla" w:cs="Sakkal Majalla"/>
          <w:b/>
          <w:bCs/>
          <w:color w:val="000000"/>
          <w:sz w:val="32"/>
          <w:szCs w:val="32"/>
        </w:rPr>
        <w:t>2. Qualitative examples of the Ombudsman’s interventions</w:t>
      </w:r>
    </w:p>
    <w:p w14:paraId="5B649BA2"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International reports indicate that the Ombudsman’s Office has investigated </w:t>
      </w:r>
      <w:proofErr w:type="gramStart"/>
      <w:r w:rsidRPr="00863B82">
        <w:rPr>
          <w:rFonts w:ascii="Sakkal Majalla" w:hAnsi="Sakkal Majalla" w:cs="Sakkal Majalla"/>
          <w:sz w:val="32"/>
          <w:szCs w:val="32"/>
        </w:rPr>
        <w:t>a number of</w:t>
      </w:r>
      <w:proofErr w:type="gramEnd"/>
      <w:r w:rsidRPr="00863B82">
        <w:rPr>
          <w:rFonts w:ascii="Sakkal Majalla" w:hAnsi="Sakkal Majalla" w:cs="Sakkal Majalla"/>
          <w:sz w:val="32"/>
          <w:szCs w:val="32"/>
        </w:rPr>
        <w:t xml:space="preserve"> sensitive cases. The Office’s own reports typically document allegations of ill-treatment in places </w:t>
      </w:r>
      <w:r w:rsidRPr="00863B82">
        <w:rPr>
          <w:rFonts w:ascii="Sakkal Majalla" w:hAnsi="Sakkal Majalla" w:cs="Sakkal Majalla"/>
          <w:sz w:val="32"/>
          <w:szCs w:val="32"/>
        </w:rPr>
        <w:lastRenderedPageBreak/>
        <w:t xml:space="preserve">of detention, some of which have been referred </w:t>
      </w:r>
      <w:proofErr w:type="gramStart"/>
      <w:r w:rsidRPr="00863B82">
        <w:rPr>
          <w:rFonts w:ascii="Sakkal Majalla" w:hAnsi="Sakkal Majalla" w:cs="Sakkal Majalla"/>
          <w:sz w:val="32"/>
          <w:szCs w:val="32"/>
        </w:rPr>
        <w:t>to</w:t>
      </w:r>
      <w:proofErr w:type="gramEnd"/>
      <w:r w:rsidRPr="00863B82">
        <w:rPr>
          <w:rFonts w:ascii="Sakkal Majalla" w:hAnsi="Sakkal Majalla" w:cs="Sakkal Majalla"/>
          <w:sz w:val="32"/>
          <w:szCs w:val="32"/>
        </w:rPr>
        <w:t xml:space="preserve"> the Special Investigation Unit, in addition to recommendations aimed at improving:</w:t>
      </w:r>
    </w:p>
    <w:p w14:paraId="3DB379F5" w14:textId="77777777" w:rsidR="002F028F" w:rsidRPr="00863B82" w:rsidRDefault="002F028F" w:rsidP="0085624E">
      <w:pPr>
        <w:pStyle w:val="ListParagraph"/>
        <w:numPr>
          <w:ilvl w:val="0"/>
          <w:numId w:val="69"/>
        </w:numPr>
        <w:bidi w:val="0"/>
        <w:spacing w:before="240" w:after="0"/>
        <w:jc w:val="lowKashida"/>
        <w:rPr>
          <w:rFonts w:ascii="Sakkal Majalla" w:hAnsi="Sakkal Majalla" w:cs="Sakkal Majalla"/>
          <w:sz w:val="32"/>
          <w:szCs w:val="32"/>
        </w:rPr>
      </w:pPr>
      <w:r w:rsidRPr="00863B82">
        <w:rPr>
          <w:rFonts w:ascii="Sakkal Majalla" w:hAnsi="Sakkal Majalla" w:cs="Sakkal Majalla"/>
          <w:sz w:val="32"/>
          <w:szCs w:val="32"/>
        </w:rPr>
        <w:t xml:space="preserve">Procedures for transferring patients to government </w:t>
      </w:r>
      <w:proofErr w:type="gramStart"/>
      <w:r w:rsidRPr="00863B82">
        <w:rPr>
          <w:rFonts w:ascii="Sakkal Majalla" w:hAnsi="Sakkal Majalla" w:cs="Sakkal Majalla"/>
          <w:sz w:val="32"/>
          <w:szCs w:val="32"/>
        </w:rPr>
        <w:t>hospitals;</w:t>
      </w:r>
      <w:proofErr w:type="gramEnd"/>
    </w:p>
    <w:p w14:paraId="295A7942" w14:textId="77777777" w:rsidR="002F028F" w:rsidRPr="00863B82" w:rsidRDefault="002F028F" w:rsidP="0085624E">
      <w:pPr>
        <w:pStyle w:val="ListParagraph"/>
        <w:numPr>
          <w:ilvl w:val="0"/>
          <w:numId w:val="69"/>
        </w:numPr>
        <w:bidi w:val="0"/>
        <w:spacing w:after="0"/>
        <w:jc w:val="lowKashida"/>
        <w:rPr>
          <w:rFonts w:ascii="Sakkal Majalla" w:hAnsi="Sakkal Majalla" w:cs="Sakkal Majalla"/>
          <w:sz w:val="32"/>
          <w:szCs w:val="32"/>
        </w:rPr>
      </w:pPr>
      <w:r w:rsidRPr="00863B82">
        <w:rPr>
          <w:rFonts w:ascii="Sakkal Majalla" w:hAnsi="Sakkal Majalla" w:cs="Sakkal Majalla"/>
          <w:sz w:val="32"/>
          <w:szCs w:val="32"/>
        </w:rPr>
        <w:t xml:space="preserve">Policies on solitary confinement, including its duration and </w:t>
      </w:r>
      <w:proofErr w:type="gramStart"/>
      <w:r w:rsidRPr="00863B82">
        <w:rPr>
          <w:rFonts w:ascii="Sakkal Majalla" w:hAnsi="Sakkal Majalla" w:cs="Sakkal Majalla"/>
          <w:sz w:val="32"/>
          <w:szCs w:val="32"/>
        </w:rPr>
        <w:t>safeguards;</w:t>
      </w:r>
      <w:proofErr w:type="gramEnd"/>
    </w:p>
    <w:p w14:paraId="0EEA96DF" w14:textId="77777777" w:rsidR="002F028F" w:rsidRPr="00863B82" w:rsidRDefault="002F028F" w:rsidP="0085624E">
      <w:pPr>
        <w:pStyle w:val="ListParagraph"/>
        <w:numPr>
          <w:ilvl w:val="0"/>
          <w:numId w:val="69"/>
        </w:numPr>
        <w:bidi w:val="0"/>
        <w:spacing w:after="0"/>
        <w:jc w:val="lowKashida"/>
        <w:rPr>
          <w:rFonts w:ascii="Sakkal Majalla" w:hAnsi="Sakkal Majalla" w:cs="Sakkal Majalla"/>
          <w:sz w:val="32"/>
          <w:szCs w:val="32"/>
        </w:rPr>
      </w:pPr>
      <w:r w:rsidRPr="00863B82">
        <w:rPr>
          <w:rFonts w:ascii="Sakkal Majalla" w:hAnsi="Sakkal Majalla" w:cs="Sakkal Majalla"/>
          <w:sz w:val="32"/>
          <w:szCs w:val="32"/>
        </w:rPr>
        <w:t xml:space="preserve">Mechanisms for recording and documenting </w:t>
      </w:r>
      <w:proofErr w:type="gramStart"/>
      <w:r w:rsidRPr="00863B82">
        <w:rPr>
          <w:rFonts w:ascii="Sakkal Majalla" w:hAnsi="Sakkal Majalla" w:cs="Sakkal Majalla"/>
          <w:sz w:val="32"/>
          <w:szCs w:val="32"/>
        </w:rPr>
        <w:t>complaints;</w:t>
      </w:r>
      <w:proofErr w:type="gramEnd"/>
    </w:p>
    <w:p w14:paraId="1C861978" w14:textId="77777777" w:rsidR="00601128" w:rsidRPr="00863B82" w:rsidRDefault="002F028F" w:rsidP="0085624E">
      <w:pPr>
        <w:pStyle w:val="ListParagraph"/>
        <w:numPr>
          <w:ilvl w:val="0"/>
          <w:numId w:val="69"/>
        </w:numPr>
        <w:bidi w:val="0"/>
        <w:spacing w:after="240"/>
        <w:jc w:val="lowKashida"/>
        <w:rPr>
          <w:rFonts w:ascii="Sakkal Majalla" w:hAnsi="Sakkal Majalla" w:cs="Sakkal Majalla"/>
          <w:sz w:val="32"/>
          <w:szCs w:val="32"/>
        </w:rPr>
      </w:pPr>
      <w:r w:rsidRPr="00863B82">
        <w:rPr>
          <w:rFonts w:ascii="Sakkal Majalla" w:hAnsi="Sakkal Majalla" w:cs="Sakkal Majalla"/>
          <w:sz w:val="32"/>
          <w:szCs w:val="32"/>
        </w:rPr>
        <w:t xml:space="preserve">Training </w:t>
      </w:r>
      <w:proofErr w:type="gramStart"/>
      <w:r w:rsidRPr="00863B82">
        <w:rPr>
          <w:rFonts w:ascii="Sakkal Majalla" w:hAnsi="Sakkal Majalla" w:cs="Sakkal Majalla"/>
          <w:sz w:val="32"/>
          <w:szCs w:val="32"/>
        </w:rPr>
        <w:t>on</w:t>
      </w:r>
      <w:proofErr w:type="gramEnd"/>
      <w:r w:rsidRPr="00863B82">
        <w:rPr>
          <w:rFonts w:ascii="Sakkal Majalla" w:hAnsi="Sakkal Majalla" w:cs="Sakkal Majalla"/>
          <w:sz w:val="32"/>
          <w:szCs w:val="32"/>
        </w:rPr>
        <w:t xml:space="preserve"> the police code of conduct and the rules governing the use of force.</w:t>
      </w:r>
      <w:bookmarkStart w:id="19" w:name="_oyfshgjnsri2" w:colFirst="0" w:colLast="0"/>
      <w:bookmarkEnd w:id="19"/>
    </w:p>
    <w:p w14:paraId="2475F6C2" w14:textId="5DB24ECE" w:rsidR="002F028F" w:rsidRPr="00863B82" w:rsidRDefault="002F028F" w:rsidP="0085624E">
      <w:pPr>
        <w:bidi w:val="0"/>
        <w:spacing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3. Accessibility and multiple complaint channels</w:t>
      </w:r>
    </w:p>
    <w:p w14:paraId="14FAF96D" w14:textId="77777777" w:rsidR="0060112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Complaint boxes that are under the direct control of the Ombudsman’s Office have been installed in police stations and in reform and rehabilitation centres (including the Women’s Reform and Rehabilitation Centre). These boxes may only be opened by Ombudsman staff, ensuring confidentiality and preventing interference by facility management. In addition, the Office provides an online platform and complaint forms, telephone contact lines, and regular field visits to review living conditions for inmates. These multiple channels help overcome the “fear barrier” that complainants may face and facilitate access to administrative justice.</w:t>
      </w:r>
      <w:bookmarkStart w:id="20" w:name="_iqb9ci8a77z7" w:colFirst="0" w:colLast="0"/>
      <w:bookmarkEnd w:id="20"/>
    </w:p>
    <w:p w14:paraId="41D8A05A" w14:textId="77777777" w:rsidR="00601128" w:rsidRPr="00863B82" w:rsidRDefault="002F028F" w:rsidP="0085624E">
      <w:pPr>
        <w:bidi w:val="0"/>
        <w:spacing w:before="240" w:after="240"/>
        <w:jc w:val="lowKashida"/>
        <w:rPr>
          <w:rFonts w:ascii="Sakkal Majalla" w:hAnsi="Sakkal Majalla" w:cs="Sakkal Majalla"/>
          <w:b/>
          <w:bCs/>
          <w:sz w:val="32"/>
          <w:szCs w:val="32"/>
        </w:rPr>
      </w:pPr>
      <w:r w:rsidRPr="00863B82">
        <w:rPr>
          <w:rFonts w:ascii="Sakkal Majalla" w:hAnsi="Sakkal Majalla" w:cs="Sakkal Majalla"/>
          <w:b/>
          <w:bCs/>
          <w:sz w:val="32"/>
          <w:szCs w:val="32"/>
        </w:rPr>
        <w:t>Sixth: Independence of the Ombudsman’s Office in Practice and International Acknowledgement</w:t>
      </w:r>
      <w:bookmarkStart w:id="21" w:name="_xnn4h88ab1ig" w:colFirst="0" w:colLast="0"/>
      <w:bookmarkEnd w:id="21"/>
    </w:p>
    <w:p w14:paraId="26038064" w14:textId="6152D595"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Membership of the International Ombudsman Institute (IOI)</w:t>
      </w:r>
    </w:p>
    <w:p w14:paraId="1D1312E5" w14:textId="77777777" w:rsidR="0060112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in Bahrain is a member of the International Ombudsman Institute (IOI), the world’s largest professional network for Ombudsman institutions. Membership requires meeting minimum standards of institutional independence, having a clear mandate to receive complaints and investigate the conduct of public authorities, and publishing reports and operating transparently. This membership is an international acknowledgement that the </w:t>
      </w:r>
      <w:r w:rsidRPr="00863B82">
        <w:rPr>
          <w:rFonts w:ascii="Sakkal Majalla" w:hAnsi="Sakkal Majalla" w:cs="Sakkal Majalla"/>
          <w:sz w:val="32"/>
          <w:szCs w:val="32"/>
        </w:rPr>
        <w:lastRenderedPageBreak/>
        <w:t>Ombudsman’s Office operates within the professional framework recognised for Ombudsman institutions and enables it to benefit from international training, exchange, and expertise programmes.</w:t>
      </w:r>
      <w:bookmarkStart w:id="22" w:name="_qal0reubkfmv" w:colFirst="0" w:colLast="0"/>
      <w:bookmarkEnd w:id="22"/>
    </w:p>
    <w:p w14:paraId="040B431C" w14:textId="2069FCC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Recognition in United Nations reports</w:t>
      </w:r>
    </w:p>
    <w:p w14:paraId="3F1A292B"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United Nations reports — including those of the Human Rights Committee, the Committee against Torture, and the Universal Periodic Review — have documented the role of the Ombudsman’s Office, noting that it is administratively and financially independent from the Ministry of Interior; a key mechanism for receiving complaints from inmates and citizens against members of the Public Security Forces; an authority empowered to visit places of detention, investigate allegations of torture and ill-treatment, and refer serious cases to the Public Prosecution.</w:t>
      </w:r>
    </w:p>
    <w:p w14:paraId="69AA1F99"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Finally,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affirms that it has found no evidence of any retaliatory acts or measures against individuals who submitted complaints or requests for assistance, whether by law-enforcement personnel or by staff at reform and rehabilitation centres. The Office treats any such allegation with the utmost seriousness and conducts thorough and objective investigations into these matters. The findings to date have shown that such allegations are unfounded.</w:t>
      </w:r>
    </w:p>
    <w:p w14:paraId="3E8B2DA3"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Accordingly, the Ombudsman’s Office plays a central role in investigating allegations made against members of the Public Security Forces where they are suspected of committing unlawful acts. In fulfilling this role, the Office operates with impartiality and independence, and in a manner that enables complainants to communicate directly with the Office easily and confidentially.</w:t>
      </w:r>
    </w:p>
    <w:p w14:paraId="7C62A61F"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has installed complaint boxes in police stations and in the Women’s Reform and Rehabilitation Centre, and procedures are underway to complete the installation of </w:t>
      </w:r>
      <w:r w:rsidRPr="00863B82">
        <w:rPr>
          <w:rFonts w:ascii="Sakkal Majalla" w:hAnsi="Sakkal Majalla" w:cs="Sakkal Majalla"/>
          <w:sz w:val="32"/>
          <w:szCs w:val="32"/>
        </w:rPr>
        <w:lastRenderedPageBreak/>
        <w:t xml:space="preserve">complaint boxes across all reform and rehabilitation centres. These boxes are under the direct supervision of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and may only be opened by Ombudsman staff. They are checked regularly, and all deposited complaints are collected without any involvement from staff working in those centres.</w:t>
      </w:r>
    </w:p>
    <w:p w14:paraId="6F8BE048"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In addition to these complaint boxes,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has made available all channels for submitting complaints, including electronic means such as email and mobile applications, whether submitted directly by the inmate, by a family member, or by national or international civil society organisations. The Ombudsman’s Office also initiates investigations into allegations that it identifies on its own initiative, without requiring a formal complaint to be filed.</w:t>
      </w:r>
    </w:p>
    <w:p w14:paraId="64280F15"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Alongside providing multiple avenues for submitting complaints,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follows a clear methodology when investigating complaints submitted by inmates. This includes giving the inmate the opportunity to provide their account freely, by hearing their statement in an independent Ombudsman office located within the reform and rehabilitation centre, without the presence or involvement of any centre staff, thereby ensuring that the inmate can speak openly and without pressure.</w:t>
      </w:r>
    </w:p>
    <w:p w14:paraId="6FD78C3E"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may also take interim measures, including recommending the temporary removal of the official </w:t>
      </w:r>
      <w:proofErr w:type="gramStart"/>
      <w:r w:rsidRPr="00863B82">
        <w:rPr>
          <w:rFonts w:ascii="Sakkal Majalla" w:hAnsi="Sakkal Majalla" w:cs="Sakkal Majalla"/>
          <w:sz w:val="32"/>
          <w:szCs w:val="32"/>
        </w:rPr>
        <w:t>complained</w:t>
      </w:r>
      <w:proofErr w:type="gramEnd"/>
      <w:r w:rsidRPr="00863B82">
        <w:rPr>
          <w:rFonts w:ascii="Sakkal Majalla" w:hAnsi="Sakkal Majalla" w:cs="Sakkal Majalla"/>
          <w:sz w:val="32"/>
          <w:szCs w:val="32"/>
        </w:rPr>
        <w:t xml:space="preserve"> against from their workplace until the investigation is concluded,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prevent any interaction between the two parties.</w:t>
      </w:r>
    </w:p>
    <w:p w14:paraId="1FF3FFFC" w14:textId="77777777" w:rsidR="0060112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What demonstrates that inmates have sufficient safeguards to submit complaints to the Ombudsman’s Office without fear of retaliation is the continued receipt of numerous complaints from inmates at the Reform and Rehabilitation Institution during the relevant period. There are also many instances in which the same inmate has submitted multiple complaints on different matters to the Ombudsman’s Office at different points in time. This reflects, on the one hand, the </w:t>
      </w:r>
      <w:r w:rsidRPr="00863B82">
        <w:rPr>
          <w:rFonts w:ascii="Sakkal Majalla" w:hAnsi="Sakkal Majalla" w:cs="Sakkal Majalla"/>
          <w:sz w:val="32"/>
          <w:szCs w:val="32"/>
        </w:rPr>
        <w:lastRenderedPageBreak/>
        <w:t xml:space="preserve">inmate’s confidence in the Ombudsman’s Office and, on the other, the absence of any fear of retaliatory measures </w:t>
      </w:r>
      <w:proofErr w:type="gramStart"/>
      <w:r w:rsidRPr="00863B82">
        <w:rPr>
          <w:rFonts w:ascii="Sakkal Majalla" w:hAnsi="Sakkal Majalla" w:cs="Sakkal Majalla"/>
          <w:sz w:val="32"/>
          <w:szCs w:val="32"/>
        </w:rPr>
        <w:t>as a result of</w:t>
      </w:r>
      <w:proofErr w:type="gramEnd"/>
      <w:r w:rsidRPr="00863B82">
        <w:rPr>
          <w:rFonts w:ascii="Sakkal Majalla" w:hAnsi="Sakkal Majalla" w:cs="Sakkal Majalla"/>
          <w:sz w:val="32"/>
          <w:szCs w:val="32"/>
        </w:rPr>
        <w:t xml:space="preserve"> submitting complaints.</w:t>
      </w:r>
      <w:bookmarkStart w:id="23" w:name="_t2j26762gkkh" w:colFirst="0" w:colLast="0"/>
      <w:bookmarkEnd w:id="23"/>
    </w:p>
    <w:p w14:paraId="23A64FA2" w14:textId="7F98B210" w:rsidR="002F028F" w:rsidRPr="00863B82" w:rsidRDefault="002F028F" w:rsidP="0085624E">
      <w:pPr>
        <w:bidi w:val="0"/>
        <w:spacing w:before="240" w:after="240"/>
        <w:jc w:val="lowKashida"/>
        <w:rPr>
          <w:rFonts w:ascii="Sakkal Majalla" w:hAnsi="Sakkal Majalla" w:cs="Sakkal Majalla"/>
          <w:color w:val="FF0000"/>
          <w:sz w:val="32"/>
          <w:szCs w:val="32"/>
        </w:rPr>
      </w:pPr>
      <w:r w:rsidRPr="00863B82">
        <w:rPr>
          <w:rFonts w:ascii="Sakkal Majalla" w:hAnsi="Sakkal Majalla" w:cs="Sakkal Majalla"/>
          <w:b/>
          <w:bCs/>
          <w:sz w:val="32"/>
          <w:szCs w:val="32"/>
        </w:rPr>
        <w:t>Ensuring the Proper Treatment of Children in Detention</w:t>
      </w:r>
    </w:p>
    <w:p w14:paraId="3E49BD70"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Ombudsman’s Office affirms that, as part of its general mandate to review the living conditions of inmates at the Reform and Rehabilitation Institution, it conducts visits to juvenile detention facilities to verify the treatment they receive and to ensure that they are classified according to the correct age groups, in line with Law No. (4) of 2021 issuing the Restorative Justice Law for Children. These visits also ensure that children are protected from any form of ill-treatment.</w:t>
      </w:r>
    </w:p>
    <w:p w14:paraId="2DF54562" w14:textId="77777777" w:rsidR="002F028F" w:rsidRPr="00863B82" w:rsidRDefault="002F028F" w:rsidP="0085624E">
      <w:pPr>
        <w:bidi w:val="0"/>
        <w:spacing w:before="240" w:after="240"/>
        <w:jc w:val="lowKashida"/>
        <w:rPr>
          <w:rFonts w:ascii="Sakkal Majalla" w:hAnsi="Sakkal Majalla" w:cs="Sakkal Majalla"/>
          <w:sz w:val="32"/>
          <w:szCs w:val="32"/>
        </w:rPr>
      </w:pP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advance juvenile justice and guarantee all rights and safeguards for children, as well as to provide appropriate mechanisms enabling them to seek redress and submit complaints in cases of ill-treatment, the Ombudsman issued a decision in 2024 establishing a new division within its organisational structure dedicated to investigating complaints involving children. This step was taken in implementation of one of the recommendations of the Universal Periodic Review before the United Nations Human Rights Council, and in coordination with the competent authorities at the Ministry of Foreign Affairs and the High Coordinating Committee for Human Rights.</w:t>
      </w:r>
    </w:p>
    <w:p w14:paraId="35739652"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new division is responsible for receiving complaints from children aged 15 to 18 who are held at the Reform and Rehabilitation Centre for Inmates, the pre-trial detention centre, or any other detention facility, in accordance with the mandate of the Ombudsman’s Office as set out in Decree No. 27 of 2012, as amended by Decree No. 35 of 2013.</w:t>
      </w:r>
    </w:p>
    <w:p w14:paraId="2E5A99D6"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Ombudsman’s Office has also provided specialised training to the staff of this division, with the support of </w:t>
      </w:r>
      <w:proofErr w:type="gramStart"/>
      <w:r w:rsidRPr="00863B82">
        <w:rPr>
          <w:rFonts w:ascii="Sakkal Majalla" w:hAnsi="Sakkal Majalla" w:cs="Sakkal Majalla"/>
          <w:sz w:val="32"/>
          <w:szCs w:val="32"/>
        </w:rPr>
        <w:t>a number of</w:t>
      </w:r>
      <w:proofErr w:type="gramEnd"/>
      <w:r w:rsidRPr="00863B82">
        <w:rPr>
          <w:rFonts w:ascii="Sakkal Majalla" w:hAnsi="Sakkal Majalla" w:cs="Sakkal Majalla"/>
          <w:sz w:val="32"/>
          <w:szCs w:val="32"/>
        </w:rPr>
        <w:t xml:space="preserve"> international experts, to ensure the application of best practices in </w:t>
      </w:r>
      <w:r w:rsidRPr="00863B82">
        <w:rPr>
          <w:rFonts w:ascii="Sakkal Majalla" w:hAnsi="Sakkal Majalla" w:cs="Sakkal Majalla"/>
          <w:sz w:val="32"/>
          <w:szCs w:val="32"/>
        </w:rPr>
        <w:lastRenderedPageBreak/>
        <w:t>receiving and investigating complaints from children. The training aims to equip investigators with the skills required to conduct child interviews in accordance with relevant international standards.</w:t>
      </w:r>
    </w:p>
    <w:p w14:paraId="15F181F9" w14:textId="77777777" w:rsidR="0060112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In addition to the role performed by the Ombudsman’s Office, the Prisoners and Detainees Rights Commission (PDRC) </w:t>
      </w:r>
      <w:proofErr w:type="gramStart"/>
      <w:r w:rsidRPr="00863B82">
        <w:rPr>
          <w:rFonts w:ascii="Sakkal Majalla" w:hAnsi="Sakkal Majalla" w:cs="Sakkal Majalla"/>
          <w:sz w:val="32"/>
          <w:szCs w:val="32"/>
        </w:rPr>
        <w:t>exercises</w:t>
      </w:r>
      <w:proofErr w:type="gramEnd"/>
      <w:r w:rsidRPr="00863B82">
        <w:rPr>
          <w:rFonts w:ascii="Sakkal Majalla" w:hAnsi="Sakkal Majalla" w:cs="Sakkal Majalla"/>
          <w:sz w:val="32"/>
          <w:szCs w:val="32"/>
        </w:rPr>
        <w:t xml:space="preserve"> its mandate as a preventive mechanism and oversight body in accordance with Decree No. 61 of 2013. The Commission’s teams carry out visits to juvenile detention facilities under the supervision of the Ministry of Interior, as well as juvenile care centres under the supervision of the Ministry of Social Development,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review their living conditions and ensure that all rights guaranteed to them by law are upheld. These visits also ensure that children benefit from all safeguards and living conditions appropriate to their age and circumstances, in line with applicable international and legal standards.</w:t>
      </w:r>
      <w:bookmarkStart w:id="24" w:name="_jetlczb619u4" w:colFirst="0" w:colLast="0"/>
      <w:bookmarkEnd w:id="24"/>
    </w:p>
    <w:p w14:paraId="13D54CA8" w14:textId="445F4547" w:rsidR="002F028F" w:rsidRPr="00863B82" w:rsidRDefault="002F028F" w:rsidP="0085624E">
      <w:pPr>
        <w:bidi w:val="0"/>
        <w:spacing w:before="240" w:after="240"/>
        <w:jc w:val="lowKashida"/>
        <w:rPr>
          <w:rFonts w:ascii="Sakkal Majalla" w:hAnsi="Sakkal Majalla" w:cs="Sakkal Majalla"/>
          <w:sz w:val="32"/>
          <w:szCs w:val="32"/>
        </w:rPr>
      </w:pPr>
      <w:proofErr w:type="gramStart"/>
      <w:r w:rsidRPr="00863B82">
        <w:rPr>
          <w:rFonts w:ascii="Sakkal Majalla" w:hAnsi="Sakkal Majalla" w:cs="Sakkal Majalla"/>
          <w:b/>
          <w:bCs/>
          <w:sz w:val="32"/>
          <w:szCs w:val="32"/>
        </w:rPr>
        <w:t>With regard to</w:t>
      </w:r>
      <w:proofErr w:type="gramEnd"/>
      <w:r w:rsidRPr="00863B82">
        <w:rPr>
          <w:rFonts w:ascii="Sakkal Majalla" w:hAnsi="Sakkal Majalla" w:cs="Sakkal Majalla"/>
          <w:b/>
          <w:bCs/>
          <w:sz w:val="32"/>
          <w:szCs w:val="32"/>
        </w:rPr>
        <w:t xml:space="preserve"> the monitoring of places of detention by the Ombudsman’s Office: </w:t>
      </w:r>
      <w:r w:rsidRPr="00863B82">
        <w:rPr>
          <w:rFonts w:ascii="Sakkal Majalla" w:hAnsi="Sakkal Majalla" w:cs="Sakkal Majalla"/>
          <w:sz w:val="32"/>
          <w:szCs w:val="32"/>
        </w:rPr>
        <w:t>As one of Bahrain’s independent national oversight mechanisms, the Ombudsman’s Office plays a central role in monitoring places of detention and ensuring that inmates, detainees and persons in custody receive all rights and safeguards provided for by law. These include the right to healthcare, the right to adequate living conditions — including food and clean water — the right to communicate with the outside world through telephone calls or visits, and the right to practise one’s religion and religious observances freely.</w:t>
      </w:r>
    </w:p>
    <w:p w14:paraId="70388593"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To achieve this purpose and to provide these protections, </w:t>
      </w:r>
      <w:proofErr w:type="gramStart"/>
      <w:r w:rsidRPr="00863B82">
        <w:rPr>
          <w:rFonts w:ascii="Sakkal Majalla" w:hAnsi="Sakkal Majalla" w:cs="Sakkal Majalla"/>
          <w:sz w:val="32"/>
          <w:szCs w:val="32"/>
        </w:rPr>
        <w:t>the Ombudsman’s</w:t>
      </w:r>
      <w:proofErr w:type="gramEnd"/>
      <w:r w:rsidRPr="00863B82">
        <w:rPr>
          <w:rFonts w:ascii="Sakkal Majalla" w:hAnsi="Sakkal Majalla" w:cs="Sakkal Majalla"/>
          <w:sz w:val="32"/>
          <w:szCs w:val="32"/>
        </w:rPr>
        <w:t xml:space="preserve"> Office operates through two main approaches:</w:t>
      </w:r>
      <w:bookmarkStart w:id="25" w:name="_da31x94any52" w:colFirst="0" w:colLast="0"/>
      <w:bookmarkEnd w:id="25"/>
    </w:p>
    <w:p w14:paraId="5AA28BC3" w14:textId="5BB95681"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sz w:val="32"/>
          <w:szCs w:val="32"/>
        </w:rPr>
        <w:t>First Approach: Complaints Submitted to the Ombudsman’s Office</w:t>
      </w:r>
    </w:p>
    <w:p w14:paraId="28D8A4DD"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legislation governing the Ombudsman’s Office (Decree No. 27 of 2012, as amended by Decree No. 35 of 2013) grants the Office the authority to investigate all complaints submitted </w:t>
      </w:r>
      <w:r w:rsidRPr="00863B82">
        <w:rPr>
          <w:rFonts w:ascii="Sakkal Majalla" w:hAnsi="Sakkal Majalla" w:cs="Sakkal Majalla"/>
          <w:sz w:val="32"/>
          <w:szCs w:val="32"/>
        </w:rPr>
        <w:lastRenderedPageBreak/>
        <w:t>against members of the Public Security Forces alleging violations of the laws or regulations governing their duties, including the Reform and Rehabilitation Institution Law and the rights and safeguards it guarantees to inmates.</w:t>
      </w:r>
    </w:p>
    <w:p w14:paraId="1A3970C7"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Accordingly, the Ombudsman’s Office examines all complaints submitted by inmates of the Reform and Rehabilitation Institution — whether submitted directly by the inmate, by a family member, or by civil society organisations — relating to any allegation of being deprived of a right guaranteed to them by law. This includes meeting the inmates concerned, inspecting the areas where they are held within the Reform and Rehabilitation Institution, verifying that they are receiving all their rights, and taking legal action against any person found to have committed violations relating to the treatment of inmates.</w:t>
      </w:r>
    </w:p>
    <w:p w14:paraId="32FC2D11"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Ombudsman’s Office has also introduced requests for assistance, which enable inmates to communicate — through the Ombudsman — with various authorities to submit different types of requests. In such cases, the Ombudsman acts as an intermediary, even though these matters do not fall within the formal definition of a complaint.</w:t>
      </w:r>
      <w:bookmarkStart w:id="26" w:name="_6gfhcln2li46" w:colFirst="0" w:colLast="0"/>
      <w:bookmarkEnd w:id="26"/>
    </w:p>
    <w:p w14:paraId="5AF237E8" w14:textId="37C59BF1"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sz w:val="32"/>
          <w:szCs w:val="32"/>
        </w:rPr>
        <w:t>Second Approach: Visits Conducted by the Ombudsman’s Office</w:t>
      </w:r>
    </w:p>
    <w:p w14:paraId="7993F8F2"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In addition to examining and investigating the complaints submitted to it, the Ombudsman’s Office carries out general visits to reform and rehabilitation centres. These visits aim to review the overall living conditions of inmates, as detailed in the report, and amounted to approximately 23 general visits. Such visits include, for example, ensuring inmates’ ability to express and practise their religion during important religious occasions, as reflected in the regular visits carried out by the Ombudsman’s Office prior to the Ashura season and during the month of Ramadan.</w:t>
      </w:r>
      <w:bookmarkStart w:id="27" w:name="_ytbyyzmzn7c6" w:colFirst="0" w:colLast="0"/>
      <w:bookmarkEnd w:id="27"/>
    </w:p>
    <w:p w14:paraId="515D8323" w14:textId="5EBFA7C4"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sz w:val="32"/>
          <w:szCs w:val="32"/>
        </w:rPr>
        <w:t>Special Investigation Unit (SIU)</w:t>
      </w:r>
    </w:p>
    <w:p w14:paraId="3BF7624A"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lastRenderedPageBreak/>
        <w:t>In line with international principles recommending that States ensure investigations are carried out by an independent authority, the Special Investigation Unit (SIU) was established in 2012 as an independent judicial body responsible for investigating all allegations of torture and ill-treatment and holding perpetrators accountable, regardless of their rank or position. The Unit operates in accordance with international standards that guarantee the independence and effectiveness of investigations. The SIU is a judicial body that exercises its legal mandate with full independence, under the exclusive authority of its Head, and without any interference from any other entity. The following are some of the key features of this independence:</w:t>
      </w:r>
      <w:bookmarkStart w:id="28" w:name="_bkgser3xt3y3" w:colFirst="0" w:colLast="0"/>
      <w:bookmarkEnd w:id="28"/>
    </w:p>
    <w:p w14:paraId="4D55BEFE" w14:textId="19430A85"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Full-time Investigators</w:t>
      </w:r>
    </w:p>
    <w:p w14:paraId="309D2ADC"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investigators of the Unit work on a full-time basis and have all the guarantees granted to members of the judiciary under the law. They may not be removed or transferred except at their own request, which ensures that they perform their duties with complete independence and impartiality.</w:t>
      </w:r>
      <w:bookmarkStart w:id="29" w:name="_deazfppj7gam" w:colFirst="0" w:colLast="0"/>
      <w:bookmarkEnd w:id="29"/>
    </w:p>
    <w:p w14:paraId="55234057" w14:textId="020FBB9D"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Independent Oversight</w:t>
      </w:r>
    </w:p>
    <w:p w14:paraId="4F1679D9"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Head of the Unit is responsible for managing the Unit, supervising its work, monitoring its performance, and carrying out inspection and oversight duties in relation to its staff. This ensures the proper functioning of the Unit and its independence from any other authority.</w:t>
      </w:r>
      <w:bookmarkStart w:id="30" w:name="_9m2sel3k9jlr" w:colFirst="0" w:colLast="0"/>
      <w:bookmarkEnd w:id="30"/>
    </w:p>
    <w:p w14:paraId="6D0FFC75" w14:textId="7BF708B8"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Integrated Organisational Structure</w:t>
      </w:r>
    </w:p>
    <w:p w14:paraId="45ED57FB"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Unit has a fully integrated organisational structure that enables it to carry out its functions independently and efficiently. It comprises specialised divisions staffed with an adequate number of experts and specialists in forensic medicine, psychology, communications, media, information </w:t>
      </w:r>
      <w:r w:rsidRPr="00863B82">
        <w:rPr>
          <w:rFonts w:ascii="Sakkal Majalla" w:hAnsi="Sakkal Majalla" w:cs="Sakkal Majalla"/>
          <w:sz w:val="32"/>
          <w:szCs w:val="32"/>
        </w:rPr>
        <w:lastRenderedPageBreak/>
        <w:t xml:space="preserve">technology, and judicial policing, in addition to administrative personnel. All staff operate under the supervision and </w:t>
      </w:r>
      <w:proofErr w:type="gramStart"/>
      <w:r w:rsidRPr="00863B82">
        <w:rPr>
          <w:rFonts w:ascii="Sakkal Majalla" w:hAnsi="Sakkal Majalla" w:cs="Sakkal Majalla"/>
          <w:sz w:val="32"/>
          <w:szCs w:val="32"/>
        </w:rPr>
        <w:t>oversight</w:t>
      </w:r>
      <w:proofErr w:type="gramEnd"/>
      <w:r w:rsidRPr="00863B82">
        <w:rPr>
          <w:rFonts w:ascii="Sakkal Majalla" w:hAnsi="Sakkal Majalla" w:cs="Sakkal Majalla"/>
          <w:sz w:val="32"/>
          <w:szCs w:val="32"/>
        </w:rPr>
        <w:t xml:space="preserve"> of the Head of the Unit.</w:t>
      </w:r>
      <w:bookmarkStart w:id="31" w:name="_opmao96jnzj0" w:colFirst="0" w:colLast="0"/>
      <w:bookmarkEnd w:id="31"/>
    </w:p>
    <w:p w14:paraId="705E719E" w14:textId="5DEF71CB"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Independent Legal Advice</w:t>
      </w:r>
    </w:p>
    <w:p w14:paraId="776E7A23"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 xml:space="preserve">The Unit has both an internal and an external legal adviser who </w:t>
      </w:r>
      <w:proofErr w:type="gramStart"/>
      <w:r w:rsidRPr="00863B82">
        <w:rPr>
          <w:rFonts w:ascii="Sakkal Majalla" w:hAnsi="Sakkal Majalla" w:cs="Sakkal Majalla"/>
          <w:sz w:val="32"/>
          <w:szCs w:val="32"/>
        </w:rPr>
        <w:t>provide</w:t>
      </w:r>
      <w:proofErr w:type="gramEnd"/>
      <w:r w:rsidRPr="00863B82">
        <w:rPr>
          <w:rFonts w:ascii="Sakkal Majalla" w:hAnsi="Sakkal Majalla" w:cs="Sakkal Majalla"/>
          <w:sz w:val="32"/>
          <w:szCs w:val="32"/>
        </w:rPr>
        <w:t xml:space="preserve"> legal advice to the Head of the Unit and </w:t>
      </w:r>
      <w:proofErr w:type="gramStart"/>
      <w:r w:rsidRPr="00863B82">
        <w:rPr>
          <w:rFonts w:ascii="Sakkal Majalla" w:hAnsi="Sakkal Majalla" w:cs="Sakkal Majalla"/>
          <w:sz w:val="32"/>
          <w:szCs w:val="32"/>
        </w:rPr>
        <w:t>contribute</w:t>
      </w:r>
      <w:proofErr w:type="gramEnd"/>
      <w:r w:rsidRPr="00863B82">
        <w:rPr>
          <w:rFonts w:ascii="Sakkal Majalla" w:hAnsi="Sakkal Majalla" w:cs="Sakkal Majalla"/>
          <w:sz w:val="32"/>
          <w:szCs w:val="32"/>
        </w:rPr>
        <w:t xml:space="preserve"> to developing work strategies in line with relevant international standards.</w:t>
      </w:r>
      <w:bookmarkStart w:id="32" w:name="_2vaj94cq79v8" w:colFirst="0" w:colLast="0"/>
      <w:bookmarkEnd w:id="32"/>
    </w:p>
    <w:p w14:paraId="2B6ADB1C" w14:textId="3E4BA7BB"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Physical Independence</w:t>
      </w:r>
    </w:p>
    <w:p w14:paraId="5C5D4C1C" w14:textId="77777777" w:rsidR="00943F88"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The Unit has premises that are entirely separate from the Public Prosecution and from all other judicial and executive buildings before which a person alleging torture or ill-treatment may be facing charges. This separation ensures the impartiality of investigations and the integrity of procedures. Such independence guarantees that investigations are conducted without influence or pressure, and in a prompt and impartial manner. It also reinforces public confidence that justice is applied equally to all, without exception.</w:t>
      </w:r>
      <w:bookmarkStart w:id="33" w:name="_ny121wb1ddaj" w:colFirst="0" w:colLast="0"/>
      <w:bookmarkEnd w:id="33"/>
    </w:p>
    <w:p w14:paraId="56FA9B01" w14:textId="693CCBA4"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b/>
          <w:bCs/>
          <w:color w:val="000000"/>
          <w:sz w:val="32"/>
          <w:szCs w:val="32"/>
        </w:rPr>
        <w:t>Unit Procedures</w:t>
      </w:r>
    </w:p>
    <w:p w14:paraId="67194F5A" w14:textId="77777777" w:rsidR="002F028F" w:rsidRPr="00863B82" w:rsidRDefault="002F028F" w:rsidP="0085624E">
      <w:pPr>
        <w:bidi w:val="0"/>
        <w:spacing w:before="240" w:after="240"/>
        <w:jc w:val="lowKashida"/>
        <w:rPr>
          <w:rFonts w:ascii="Sakkal Majalla" w:hAnsi="Sakkal Majalla" w:cs="Sakkal Majalla"/>
          <w:sz w:val="32"/>
          <w:szCs w:val="32"/>
        </w:rPr>
      </w:pPr>
      <w:r w:rsidRPr="00863B82">
        <w:rPr>
          <w:rFonts w:ascii="Sakkal Majalla" w:hAnsi="Sakkal Majalla" w:cs="Sakkal Majalla"/>
          <w:sz w:val="32"/>
          <w:szCs w:val="32"/>
        </w:rPr>
        <w:t>In this context, the Unit conducts investigations into all complaints submitted to it with professionalism and impartiality, even where serious indications are absent. It works to gather evidence promptly, including by interviewing victims and witnesses, carrying out inspections and examinations, requesting forensic or psychological assessments where necessary, questioning suspects, and obtaining video recordings and judicial police reports. Once all necessary investigative steps have been completed, the Unit determines the appropriate course of action based on the results of the investigation, in a manner that ensures the establishment of the truth and the achievement of justice.</w:t>
      </w:r>
    </w:p>
    <w:p w14:paraId="13ACA52B" w14:textId="77777777" w:rsidR="0085624E" w:rsidRPr="00863B82" w:rsidRDefault="00232F0F" w:rsidP="0085624E">
      <w:pPr>
        <w:pStyle w:val="NormalWeb"/>
        <w:jc w:val="lowKashida"/>
        <w:rPr>
          <w:rStyle w:val="Strong"/>
          <w:rFonts w:ascii="Sakkal Majalla" w:eastAsiaTheme="majorEastAsi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lastRenderedPageBreak/>
        <w:t>The Role of the Unit in Ensuring Accountability</w:t>
      </w:r>
    </w:p>
    <w:p w14:paraId="16C7CE49" w14:textId="6149175E" w:rsidR="00232F0F" w:rsidRPr="00863B82" w:rsidRDefault="00232F0F" w:rsidP="0085624E">
      <w:pPr>
        <w:pStyle w:val="NormalWeb"/>
        <w:jc w:val="lowKashida"/>
        <w:rPr>
          <w:rFonts w:ascii="Sakkal Majalla" w:eastAsiaTheme="majorEastAsia" w:hAnsi="Sakkal Majalla" w:cs="Sakkal Majalla"/>
          <w:b/>
          <w:bCs/>
          <w:color w:val="000000"/>
          <w:sz w:val="32"/>
          <w:szCs w:val="32"/>
        </w:rPr>
      </w:pPr>
      <w:r w:rsidRPr="00863B82">
        <w:rPr>
          <w:rFonts w:ascii="Sakkal Majalla" w:hAnsi="Sakkal Majalla" w:cs="Sakkal Majalla"/>
          <w:color w:val="000000"/>
          <w:sz w:val="32"/>
          <w:szCs w:val="32"/>
        </w:rPr>
        <w:t>Over the years, the Special Investigation Unit has succeeded in establishing a culture of accountability and in strengthening public confidence in the justice system. This is reflected in its outcomes, as it has requested the prosecution of 212 law enforcement officials. Those proven guilty received criminal penalties ranging from fines and imprisonment to seven years in prison, in addition to disciplinary sanctions that included warnings, reprimands and blame, denial of the annual allowance, delayed promotion, salary deductions, and termination of service.</w:t>
      </w:r>
    </w:p>
    <w:p w14:paraId="0A418371"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It is noteworthy that the figure reported in Bahrain’s 2021 national report was 167, and the increase to the </w:t>
      </w:r>
      <w:proofErr w:type="gramStart"/>
      <w:r w:rsidRPr="00863B82">
        <w:rPr>
          <w:rFonts w:ascii="Sakkal Majalla" w:hAnsi="Sakkal Majalla" w:cs="Sakkal Majalla"/>
          <w:color w:val="000000"/>
          <w:sz w:val="32"/>
          <w:szCs w:val="32"/>
        </w:rPr>
        <w:t>aforementioned figure</w:t>
      </w:r>
      <w:proofErr w:type="gramEnd"/>
      <w:r w:rsidRPr="00863B82">
        <w:rPr>
          <w:rFonts w:ascii="Sakkal Majalla" w:hAnsi="Sakkal Majalla" w:cs="Sakkal Majalla"/>
          <w:color w:val="000000"/>
          <w:sz w:val="32"/>
          <w:szCs w:val="32"/>
        </w:rPr>
        <w:t xml:space="preserve"> is clear evidence of the seriousness and effectiveness of the procedures adopted to ensure accountability. These efforts have resulted in a decline of approximately 90% in complaints falling within the Unit’s jurisdiction, reflecting the Kingdom of Bahrain’s success in addressing this type of crime.</w:t>
      </w:r>
    </w:p>
    <w:p w14:paraId="0E5C2D04"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Since 2022, statistics indicate that the Unit has received around 180 complaints. Accountability was sought in 23 cases during this period, resulting in criminal judgments ranging between one month, three months, six months, and one year of imprisonment, and disciplinary sanctions varying between delayed promotion, salary deduction, deprivation of the annual allowance, and termination of service.</w:t>
      </w:r>
    </w:p>
    <w:p w14:paraId="0137B751" w14:textId="77777777" w:rsidR="00232F0F" w:rsidRPr="00863B82" w:rsidRDefault="00232F0F" w:rsidP="0085624E">
      <w:pPr>
        <w:bidi w:val="0"/>
        <w:spacing w:line="240" w:lineRule="auto"/>
        <w:jc w:val="lowKashida"/>
        <w:rPr>
          <w:rFonts w:ascii="Sakkal Majalla" w:hAnsi="Sakkal Majalla" w:cs="Sakkal Majalla"/>
          <w:sz w:val="32"/>
          <w:szCs w:val="32"/>
        </w:rPr>
      </w:pPr>
    </w:p>
    <w:tbl>
      <w:tblPr>
        <w:tblStyle w:val="LightList-Accent2"/>
        <w:bidiVisual/>
        <w:tblW w:w="0" w:type="auto"/>
        <w:jc w:val="center"/>
        <w:tblBorders>
          <w:insideH w:val="single" w:sz="8" w:space="0" w:color="E97132" w:themeColor="accent2"/>
          <w:insideV w:val="single" w:sz="4" w:space="0" w:color="C0504D"/>
        </w:tblBorders>
        <w:tblLook w:val="04A0" w:firstRow="1" w:lastRow="0" w:firstColumn="1" w:lastColumn="0" w:noHBand="0" w:noVBand="1"/>
      </w:tblPr>
      <w:tblGrid>
        <w:gridCol w:w="4289"/>
        <w:gridCol w:w="4468"/>
      </w:tblGrid>
      <w:tr w:rsidR="00232F0F" w:rsidRPr="00863B82" w14:paraId="42688160" w14:textId="77777777" w:rsidTr="005639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57" w:type="dxa"/>
            <w:gridSpan w:val="2"/>
            <w:tcBorders>
              <w:top w:val="single" w:sz="4" w:space="0" w:color="80838A"/>
              <w:left w:val="single" w:sz="4" w:space="0" w:color="80838A"/>
              <w:bottom w:val="single" w:sz="4" w:space="0" w:color="80838A"/>
              <w:right w:val="single" w:sz="4" w:space="0" w:color="80838A"/>
            </w:tcBorders>
            <w:shd w:val="clear" w:color="auto" w:fill="80838A"/>
            <w:hideMark/>
          </w:tcPr>
          <w:p w14:paraId="51804F21" w14:textId="77777777" w:rsidR="00232F0F" w:rsidRPr="00863B82" w:rsidRDefault="00232F0F" w:rsidP="0085624E">
            <w:pPr>
              <w:bidi w:val="0"/>
              <w:ind w:left="-90" w:right="-90"/>
              <w:jc w:val="center"/>
              <w:rPr>
                <w:rFonts w:ascii="Sakkal Majalla" w:hAnsi="Sakkal Majalla" w:cs="Sakkal Majalla"/>
                <w:sz w:val="32"/>
                <w:szCs w:val="32"/>
                <w:rtl/>
                <w:lang w:bidi="ar-BH"/>
              </w:rPr>
            </w:pPr>
            <w:r w:rsidRPr="00863B82">
              <w:rPr>
                <w:rFonts w:ascii="Sakkal Majalla" w:hAnsi="Sakkal Majalla" w:cs="Sakkal Majalla"/>
                <w:color w:val="000000" w:themeColor="text1"/>
                <w:sz w:val="32"/>
                <w:szCs w:val="32"/>
              </w:rPr>
              <w:t>Sources of complaints since 2022</w:t>
            </w:r>
          </w:p>
        </w:tc>
      </w:tr>
      <w:tr w:rsidR="00232F0F" w:rsidRPr="00863B82" w14:paraId="164145E9"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FFFFFF"/>
            </w:tcBorders>
            <w:shd w:val="clear" w:color="auto" w:fill="80838A"/>
            <w:hideMark/>
          </w:tcPr>
          <w:p w14:paraId="3E3823C1" w14:textId="77777777" w:rsidR="00232F0F" w:rsidRPr="00863B82" w:rsidRDefault="00232F0F" w:rsidP="0085624E">
            <w:pPr>
              <w:bidi w:val="0"/>
              <w:ind w:left="-90" w:right="-90"/>
              <w:jc w:val="center"/>
              <w:rPr>
                <w:rFonts w:ascii="Sakkal Majalla" w:hAnsi="Sakkal Majalla" w:cs="Sakkal Majalla"/>
                <w:sz w:val="32"/>
                <w:szCs w:val="32"/>
                <w:lang w:bidi="ar-BH"/>
              </w:rPr>
            </w:pPr>
            <w:r w:rsidRPr="00863B82">
              <w:rPr>
                <w:rFonts w:ascii="Sakkal Majalla" w:hAnsi="Sakkal Majalla" w:cs="Sakkal Majalla"/>
                <w:sz w:val="32"/>
                <w:szCs w:val="32"/>
                <w:lang w:bidi="ar-BH"/>
              </w:rPr>
              <w:t>Number</w:t>
            </w:r>
          </w:p>
        </w:tc>
        <w:tc>
          <w:tcPr>
            <w:tcW w:w="4468" w:type="dxa"/>
            <w:tcBorders>
              <w:top w:val="single" w:sz="4" w:space="0" w:color="80838A"/>
              <w:left w:val="single" w:sz="4" w:space="0" w:color="FFFFFF"/>
              <w:bottom w:val="single" w:sz="4" w:space="0" w:color="80838A"/>
              <w:right w:val="single" w:sz="4" w:space="0" w:color="80838A"/>
            </w:tcBorders>
            <w:shd w:val="clear" w:color="auto" w:fill="80838A"/>
            <w:hideMark/>
          </w:tcPr>
          <w:p w14:paraId="0AC081D4"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sz w:val="32"/>
                <w:szCs w:val="32"/>
                <w:rtl/>
                <w:lang w:bidi="ar-BH"/>
              </w:rPr>
            </w:pPr>
            <w:r w:rsidRPr="00863B82">
              <w:rPr>
                <w:rFonts w:ascii="Sakkal Majalla" w:hAnsi="Sakkal Majalla" w:cs="Sakkal Majalla"/>
                <w:b/>
                <w:bCs/>
                <w:sz w:val="32"/>
                <w:szCs w:val="32"/>
                <w:lang w:bidi="ar-BH"/>
              </w:rPr>
              <w:t>Source</w:t>
            </w:r>
          </w:p>
        </w:tc>
      </w:tr>
      <w:tr w:rsidR="00232F0F" w:rsidRPr="00863B82" w14:paraId="01172CE4" w14:textId="77777777" w:rsidTr="00563988">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6123AF58"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87</w:t>
            </w:r>
          </w:p>
        </w:tc>
        <w:tc>
          <w:tcPr>
            <w:tcW w:w="4468" w:type="dxa"/>
            <w:tcBorders>
              <w:top w:val="single" w:sz="4" w:space="0" w:color="80838A"/>
              <w:left w:val="single" w:sz="4" w:space="0" w:color="80838A"/>
              <w:bottom w:val="single" w:sz="4" w:space="0" w:color="80838A"/>
              <w:right w:val="single" w:sz="4" w:space="0" w:color="80838A"/>
            </w:tcBorders>
            <w:hideMark/>
          </w:tcPr>
          <w:p w14:paraId="310AA98C" w14:textId="77777777" w:rsidR="00232F0F" w:rsidRPr="00863B82" w:rsidRDefault="00232F0F" w:rsidP="0085624E">
            <w:pPr>
              <w:bidi w:val="0"/>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Public Prosecution</w:t>
            </w:r>
          </w:p>
        </w:tc>
      </w:tr>
      <w:tr w:rsidR="00232F0F" w:rsidRPr="00863B82" w14:paraId="3F44ACF6"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7121CFD0"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31</w:t>
            </w:r>
          </w:p>
        </w:tc>
        <w:tc>
          <w:tcPr>
            <w:tcW w:w="4468" w:type="dxa"/>
            <w:tcBorders>
              <w:top w:val="single" w:sz="4" w:space="0" w:color="80838A"/>
              <w:left w:val="single" w:sz="4" w:space="0" w:color="80838A"/>
              <w:bottom w:val="single" w:sz="4" w:space="0" w:color="80838A"/>
              <w:right w:val="single" w:sz="4" w:space="0" w:color="80838A"/>
            </w:tcBorders>
            <w:hideMark/>
          </w:tcPr>
          <w:p w14:paraId="392E461E"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Ombudsman’s Office</w:t>
            </w:r>
          </w:p>
        </w:tc>
      </w:tr>
      <w:tr w:rsidR="00232F0F" w:rsidRPr="00863B82" w14:paraId="0903FF8B" w14:textId="77777777" w:rsidTr="00563988">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48AC3ED2" w14:textId="21C6848F"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18</w:t>
            </w:r>
          </w:p>
        </w:tc>
        <w:tc>
          <w:tcPr>
            <w:tcW w:w="4468" w:type="dxa"/>
            <w:tcBorders>
              <w:top w:val="single" w:sz="4" w:space="0" w:color="80838A"/>
              <w:left w:val="single" w:sz="4" w:space="0" w:color="80838A"/>
              <w:bottom w:val="single" w:sz="4" w:space="0" w:color="80838A"/>
              <w:right w:val="single" w:sz="4" w:space="0" w:color="80838A"/>
            </w:tcBorders>
            <w:hideMark/>
          </w:tcPr>
          <w:p w14:paraId="12F2D5E2" w14:textId="77777777" w:rsidR="00232F0F" w:rsidRPr="00863B82" w:rsidRDefault="00232F0F" w:rsidP="0085624E">
            <w:pPr>
              <w:bidi w:val="0"/>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Victims or their families</w:t>
            </w:r>
          </w:p>
        </w:tc>
      </w:tr>
      <w:tr w:rsidR="00232F0F" w:rsidRPr="00863B82" w14:paraId="3352CBB8"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796F3310"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lastRenderedPageBreak/>
              <w:t>18</w:t>
            </w:r>
          </w:p>
        </w:tc>
        <w:tc>
          <w:tcPr>
            <w:tcW w:w="4468" w:type="dxa"/>
            <w:tcBorders>
              <w:top w:val="single" w:sz="4" w:space="0" w:color="80838A"/>
              <w:left w:val="single" w:sz="4" w:space="0" w:color="80838A"/>
              <w:bottom w:val="single" w:sz="4" w:space="0" w:color="80838A"/>
              <w:right w:val="single" w:sz="4" w:space="0" w:color="80838A"/>
            </w:tcBorders>
            <w:hideMark/>
          </w:tcPr>
          <w:p w14:paraId="3A06D62A"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Unit’s monitoring</w:t>
            </w:r>
          </w:p>
        </w:tc>
      </w:tr>
      <w:tr w:rsidR="00232F0F" w:rsidRPr="00863B82" w14:paraId="6CD073D3" w14:textId="77777777" w:rsidTr="00563988">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0A5E301B"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12</w:t>
            </w:r>
          </w:p>
        </w:tc>
        <w:tc>
          <w:tcPr>
            <w:tcW w:w="4468" w:type="dxa"/>
            <w:tcBorders>
              <w:top w:val="single" w:sz="4" w:space="0" w:color="80838A"/>
              <w:left w:val="single" w:sz="4" w:space="0" w:color="80838A"/>
              <w:bottom w:val="single" w:sz="4" w:space="0" w:color="80838A"/>
              <w:right w:val="single" w:sz="4" w:space="0" w:color="80838A"/>
            </w:tcBorders>
            <w:hideMark/>
          </w:tcPr>
          <w:p w14:paraId="5A68429D" w14:textId="77777777" w:rsidR="00232F0F" w:rsidRPr="00863B82" w:rsidRDefault="00232F0F" w:rsidP="0085624E">
            <w:pPr>
              <w:bidi w:val="0"/>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Website or email</w:t>
            </w:r>
          </w:p>
        </w:tc>
      </w:tr>
      <w:tr w:rsidR="00232F0F" w:rsidRPr="00863B82" w14:paraId="6E25355D"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13F849FC"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6</w:t>
            </w:r>
          </w:p>
        </w:tc>
        <w:tc>
          <w:tcPr>
            <w:tcW w:w="4468" w:type="dxa"/>
            <w:tcBorders>
              <w:top w:val="single" w:sz="4" w:space="0" w:color="80838A"/>
              <w:left w:val="single" w:sz="4" w:space="0" w:color="80838A"/>
              <w:bottom w:val="single" w:sz="4" w:space="0" w:color="80838A"/>
              <w:right w:val="single" w:sz="4" w:space="0" w:color="80838A"/>
            </w:tcBorders>
            <w:hideMark/>
          </w:tcPr>
          <w:p w14:paraId="373B046A"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National Institution for Human Rights</w:t>
            </w:r>
          </w:p>
        </w:tc>
      </w:tr>
      <w:tr w:rsidR="00232F0F" w:rsidRPr="00863B82" w14:paraId="6D0392CB" w14:textId="77777777" w:rsidTr="00563988">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247D2F57"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5</w:t>
            </w:r>
          </w:p>
        </w:tc>
        <w:tc>
          <w:tcPr>
            <w:tcW w:w="4468" w:type="dxa"/>
            <w:tcBorders>
              <w:top w:val="single" w:sz="4" w:space="0" w:color="80838A"/>
              <w:left w:val="single" w:sz="4" w:space="0" w:color="80838A"/>
              <w:bottom w:val="single" w:sz="4" w:space="0" w:color="80838A"/>
              <w:right w:val="single" w:sz="4" w:space="0" w:color="80838A"/>
            </w:tcBorders>
            <w:hideMark/>
          </w:tcPr>
          <w:p w14:paraId="718DEE80" w14:textId="77777777" w:rsidR="00232F0F" w:rsidRPr="00863B82" w:rsidRDefault="00232F0F" w:rsidP="0085624E">
            <w:pPr>
              <w:bidi w:val="0"/>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Ministry of Interior</w:t>
            </w:r>
          </w:p>
        </w:tc>
      </w:tr>
      <w:tr w:rsidR="00232F0F" w:rsidRPr="00863B82" w14:paraId="6C0C1286"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3D235DF9"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5</w:t>
            </w:r>
          </w:p>
        </w:tc>
        <w:tc>
          <w:tcPr>
            <w:tcW w:w="4468" w:type="dxa"/>
            <w:tcBorders>
              <w:top w:val="single" w:sz="4" w:space="0" w:color="80838A"/>
              <w:left w:val="single" w:sz="4" w:space="0" w:color="80838A"/>
              <w:bottom w:val="single" w:sz="4" w:space="0" w:color="80838A"/>
              <w:right w:val="single" w:sz="4" w:space="0" w:color="80838A"/>
            </w:tcBorders>
            <w:hideMark/>
          </w:tcPr>
          <w:p w14:paraId="10D8E669"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Lawyers</w:t>
            </w:r>
          </w:p>
        </w:tc>
      </w:tr>
      <w:tr w:rsidR="00232F0F" w:rsidRPr="00863B82" w14:paraId="66C8B025" w14:textId="77777777" w:rsidTr="00563988">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262F8A5B" w14:textId="77777777" w:rsidR="00232F0F" w:rsidRPr="00863B82" w:rsidRDefault="00232F0F" w:rsidP="0085624E">
            <w:pPr>
              <w:bidi w:val="0"/>
              <w:ind w:left="-90" w:right="-90"/>
              <w:jc w:val="center"/>
              <w:rPr>
                <w:rFonts w:ascii="Sakkal Majalla" w:hAnsi="Sakkal Majalla" w:cs="Sakkal Majalla"/>
                <w:b w:val="0"/>
                <w:bCs w:val="0"/>
                <w:sz w:val="32"/>
                <w:szCs w:val="32"/>
                <w:rtl/>
                <w:lang w:bidi="ar-BH"/>
              </w:rPr>
            </w:pPr>
            <w:r w:rsidRPr="00863B82">
              <w:rPr>
                <w:rFonts w:ascii="Sakkal Majalla" w:hAnsi="Sakkal Majalla" w:cs="Sakkal Majalla"/>
                <w:b w:val="0"/>
                <w:bCs w:val="0"/>
                <w:sz w:val="32"/>
                <w:szCs w:val="32"/>
                <w:lang w:bidi="ar-BH"/>
              </w:rPr>
              <w:t>5</w:t>
            </w:r>
          </w:p>
        </w:tc>
        <w:tc>
          <w:tcPr>
            <w:tcW w:w="4468" w:type="dxa"/>
            <w:tcBorders>
              <w:top w:val="single" w:sz="4" w:space="0" w:color="80838A"/>
              <w:left w:val="single" w:sz="4" w:space="0" w:color="80838A"/>
              <w:bottom w:val="single" w:sz="4" w:space="0" w:color="80838A"/>
              <w:right w:val="single" w:sz="4" w:space="0" w:color="80838A"/>
            </w:tcBorders>
            <w:hideMark/>
          </w:tcPr>
          <w:p w14:paraId="08DB794A" w14:textId="77777777" w:rsidR="00232F0F" w:rsidRPr="00863B82" w:rsidRDefault="00232F0F" w:rsidP="0085624E">
            <w:pPr>
              <w:bidi w:val="0"/>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2"/>
                <w:szCs w:val="32"/>
                <w:rtl/>
                <w:lang w:bidi="ar-BH"/>
              </w:rPr>
            </w:pPr>
            <w:r w:rsidRPr="00863B82">
              <w:rPr>
                <w:rFonts w:ascii="Sakkal Majalla" w:hAnsi="Sakkal Majalla" w:cs="Sakkal Majalla"/>
                <w:sz w:val="32"/>
                <w:szCs w:val="32"/>
              </w:rPr>
              <w:t>Telephone calls</w:t>
            </w:r>
          </w:p>
        </w:tc>
      </w:tr>
      <w:tr w:rsidR="00232F0F" w:rsidRPr="00863B82" w14:paraId="18E93F3D" w14:textId="77777777" w:rsidTr="005639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FFFFFF"/>
            </w:tcBorders>
            <w:shd w:val="clear" w:color="auto" w:fill="80838A"/>
            <w:hideMark/>
          </w:tcPr>
          <w:p w14:paraId="3C1A7859" w14:textId="77777777" w:rsidR="00232F0F" w:rsidRPr="00863B82" w:rsidRDefault="00232F0F" w:rsidP="0085624E">
            <w:pPr>
              <w:bidi w:val="0"/>
              <w:ind w:left="-90" w:right="-90"/>
              <w:jc w:val="center"/>
              <w:rPr>
                <w:rFonts w:ascii="Sakkal Majalla" w:hAnsi="Sakkal Majalla" w:cs="Sakkal Majalla"/>
                <w:color w:val="FFFFFF" w:themeColor="background1"/>
                <w:sz w:val="32"/>
                <w:szCs w:val="32"/>
                <w:rtl/>
                <w:lang w:bidi="ar-BH"/>
              </w:rPr>
            </w:pPr>
            <w:r w:rsidRPr="00863B82">
              <w:rPr>
                <w:rFonts w:ascii="Sakkal Majalla" w:hAnsi="Sakkal Majalla" w:cs="Sakkal Majalla"/>
                <w:color w:val="FFFFFF" w:themeColor="background1"/>
                <w:sz w:val="32"/>
                <w:szCs w:val="32"/>
                <w:lang w:bidi="ar-BH"/>
              </w:rPr>
              <w:t>187</w:t>
            </w:r>
          </w:p>
        </w:tc>
        <w:tc>
          <w:tcPr>
            <w:tcW w:w="4468" w:type="dxa"/>
            <w:tcBorders>
              <w:top w:val="single" w:sz="4" w:space="0" w:color="80838A"/>
              <w:left w:val="single" w:sz="4" w:space="0" w:color="FFFFFF"/>
              <w:bottom w:val="single" w:sz="4" w:space="0" w:color="80838A"/>
              <w:right w:val="single" w:sz="4" w:space="0" w:color="80838A"/>
            </w:tcBorders>
            <w:shd w:val="clear" w:color="auto" w:fill="80838A"/>
            <w:hideMark/>
          </w:tcPr>
          <w:p w14:paraId="5E87C04D" w14:textId="77777777" w:rsidR="00232F0F" w:rsidRPr="00863B82" w:rsidRDefault="00232F0F" w:rsidP="0085624E">
            <w:pPr>
              <w:bidi w:val="0"/>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FFFFFF" w:themeColor="background1"/>
                <w:sz w:val="32"/>
                <w:szCs w:val="32"/>
                <w:rtl/>
                <w:lang w:bidi="ar-BH"/>
              </w:rPr>
            </w:pPr>
            <w:r w:rsidRPr="00863B82">
              <w:rPr>
                <w:rFonts w:ascii="Sakkal Majalla" w:hAnsi="Sakkal Majalla" w:cs="Sakkal Majalla"/>
                <w:b/>
                <w:bCs/>
                <w:color w:val="FFFFFF" w:themeColor="background1"/>
                <w:sz w:val="32"/>
                <w:szCs w:val="32"/>
                <w:lang w:bidi="ar-BH"/>
              </w:rPr>
              <w:t>Total</w:t>
            </w:r>
          </w:p>
        </w:tc>
      </w:tr>
    </w:tbl>
    <w:p w14:paraId="472BC4E7" w14:textId="77777777" w:rsidR="00232F0F" w:rsidRPr="00863B82" w:rsidRDefault="00232F0F" w:rsidP="0085624E">
      <w:pPr>
        <w:bidi w:val="0"/>
        <w:spacing w:line="240" w:lineRule="auto"/>
        <w:jc w:val="lowKashida"/>
        <w:rPr>
          <w:rFonts w:ascii="Sakkal Majalla" w:hAnsi="Sakkal Majalla" w:cs="Sakkal Majalla"/>
          <w:sz w:val="32"/>
          <w:szCs w:val="32"/>
        </w:rPr>
      </w:pPr>
    </w:p>
    <w:p w14:paraId="752D9F2B"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The Unit ensures annually the analysis of all complaints it receives, in terms of type, entities, </w:t>
      </w:r>
      <w:proofErr w:type="gramStart"/>
      <w:r w:rsidRPr="00863B82">
        <w:rPr>
          <w:rFonts w:ascii="Sakkal Majalla" w:hAnsi="Sakkal Majalla" w:cs="Sakkal Majalla"/>
          <w:sz w:val="32"/>
          <w:szCs w:val="32"/>
        </w:rPr>
        <w:t>persons</w:t>
      </w:r>
      <w:proofErr w:type="gramEnd"/>
      <w:r w:rsidRPr="00863B82">
        <w:rPr>
          <w:rFonts w:ascii="Sakkal Majalla" w:hAnsi="Sakkal Majalla" w:cs="Sakkal Majalla"/>
          <w:sz w:val="32"/>
          <w:szCs w:val="32"/>
        </w:rPr>
        <w:t xml:space="preserve"> complained against, and methods of the alleged acts, </w:t>
      </w:r>
      <w:proofErr w:type="gramStart"/>
      <w:r w:rsidRPr="00863B82">
        <w:rPr>
          <w:rFonts w:ascii="Sakkal Majalla" w:hAnsi="Sakkal Majalla" w:cs="Sakkal Majalla"/>
          <w:sz w:val="32"/>
          <w:szCs w:val="32"/>
        </w:rPr>
        <w:t>in order to</w:t>
      </w:r>
      <w:proofErr w:type="gramEnd"/>
      <w:r w:rsidRPr="00863B82">
        <w:rPr>
          <w:rFonts w:ascii="Sakkal Majalla" w:hAnsi="Sakkal Majalla" w:cs="Sakkal Majalla"/>
          <w:sz w:val="32"/>
          <w:szCs w:val="32"/>
        </w:rPr>
        <w:t xml:space="preserve"> make the necessary recommendations. This reflects its seriousness in addressing complaints and combating acts of torture and ill-treatment.</w:t>
      </w:r>
    </w:p>
    <w:p w14:paraId="724018DF"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All information related to the Unit’s work is published on its website (siu.gov.bh), in full commitment to transparency. The Unit consistently publishes periodic and annual reports in Arabic and English that include comprehensive data about its activities, such as the number and type of complaints received, their sources, the number of victims, witnesses, and accused persons interviewed, those referred to the forensic medicine and psychological support divisions, as well as cases referred to criminal or disciplinary proceedings and their resulting judgments and sanctions. The reports also include details of the training programs conducted.</w:t>
      </w:r>
    </w:p>
    <w:p w14:paraId="200724B7"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Since its establishment, the Unit has paid special attention to training as a means of capacity building and enhancing institutional performance. In 2014, it signed a cooperation agreement with the United Nations Development Programme (UNDP) in Bahrain aimed at supporting its capacities and enabling it to perform its tasks in accordance with the highest international </w:t>
      </w:r>
      <w:r w:rsidRPr="00863B82">
        <w:rPr>
          <w:rFonts w:ascii="Sakkal Majalla" w:hAnsi="Sakkal Majalla" w:cs="Sakkal Majalla"/>
          <w:sz w:val="32"/>
          <w:szCs w:val="32"/>
        </w:rPr>
        <w:lastRenderedPageBreak/>
        <w:t>standards. The activation of this partnership, together with effective cooperation with several national and international entities, has resulted in the organization of 34 various training events over thirteen years, including specialized workshops, regional and international conferences, and multiple training programs, as well as the hosting of international experts.</w:t>
      </w:r>
    </w:p>
    <w:p w14:paraId="4D184424"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These activities addressed key topics relevant to the Unit’s mandate, such as international human rights standards, the Convention against Torture, the principles of the Istanbul Protocol, investigation strategies, mechanisms for collecting and assessing evidence, and the limits and conditions of lawful use of force. The Unit continues to follow this systematic approach, reaffirming its commitment to strengthening legal safeguards and upholding justice.</w:t>
      </w:r>
    </w:p>
    <w:p w14:paraId="36FAF3BE" w14:textId="77777777" w:rsidR="00232F0F" w:rsidRPr="00863B82" w:rsidRDefault="00232F0F" w:rsidP="0085624E">
      <w:pPr>
        <w:bidi w:val="0"/>
        <w:spacing w:line="240" w:lineRule="auto"/>
        <w:jc w:val="lowKashida"/>
        <w:rPr>
          <w:rFonts w:ascii="Sakkal Majalla" w:hAnsi="Sakkal Majalla" w:cs="Sakkal Majalla"/>
          <w:sz w:val="32"/>
          <w:szCs w:val="32"/>
        </w:rPr>
      </w:pPr>
      <w:proofErr w:type="gramStart"/>
      <w:r w:rsidRPr="00863B82">
        <w:rPr>
          <w:rFonts w:ascii="Sakkal Majalla" w:hAnsi="Sakkal Majalla" w:cs="Sakkal Majalla"/>
          <w:sz w:val="32"/>
          <w:szCs w:val="32"/>
        </w:rPr>
        <w:t>With regard to</w:t>
      </w:r>
      <w:proofErr w:type="gramEnd"/>
      <w:r w:rsidRPr="00863B82">
        <w:rPr>
          <w:rFonts w:ascii="Sakkal Majalla" w:hAnsi="Sakkal Majalla" w:cs="Sakkal Majalla"/>
          <w:sz w:val="32"/>
          <w:szCs w:val="32"/>
        </w:rPr>
        <w:t xml:space="preserve"> the Istanbul Protocol in particular, it serves as the core technical reference for the Unit’s work. The Unit has ensured compliance with its standards by holding 14 internal sessions attended by investigators and experts, during which the content of the Protocol was analyzed and discussed to develop methodologies and enhance the quality of investigations. These sessions resulted in 86 recommendations and proposals that directly contributed to improving investigation procedures, reinforcing accountability standards, and enhancing access to justice, in accordance with international best practices.</w:t>
      </w:r>
    </w:p>
    <w:p w14:paraId="5465919F"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It is noteworthy that, coinciding with this year’s International Human Rights Day, the Unit plans to organize a specialized workshop bringing together all relevant bodies and mechanisms in Bahrain to highlight the principles of the revised Istanbul Protocol and to discuss methods for its practical implementation, especially following the publication of the updated version in 2022.</w:t>
      </w:r>
    </w:p>
    <w:p w14:paraId="5790532F" w14:textId="4C126C8E" w:rsidR="00232F0F" w:rsidRPr="00863B82" w:rsidRDefault="00232F0F" w:rsidP="0085624E">
      <w:pPr>
        <w:bidi w:val="0"/>
        <w:spacing w:line="240" w:lineRule="auto"/>
        <w:jc w:val="lowKashida"/>
        <w:rPr>
          <w:rFonts w:ascii="Sakkal Majalla" w:hAnsi="Sakkal Majalla" w:cs="Sakkal Majalla"/>
          <w:b/>
          <w:bCs/>
          <w:sz w:val="32"/>
          <w:szCs w:val="32"/>
        </w:rPr>
      </w:pPr>
      <w:r w:rsidRPr="00863B82">
        <w:rPr>
          <w:rFonts w:ascii="Sakkal Majalla" w:hAnsi="Sakkal Majalla" w:cs="Sakkal Majalla"/>
          <w:b/>
          <w:bCs/>
          <w:sz w:val="32"/>
          <w:szCs w:val="32"/>
        </w:rPr>
        <w:t>Criteria for distinguishing between torture and ill-treatment</w:t>
      </w:r>
    </w:p>
    <w:p w14:paraId="56D4046B"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The law defines specific elements that constitute the crime of torture. Accordingly, the offense of torture is distinguished from other forms of ill-treatment based on three main criteria:</w:t>
      </w:r>
    </w:p>
    <w:p w14:paraId="1EBA6E9D"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1. Severity of pain or suffering: Torture requires that the assault, whether physical or psychological, causes severe pain or suffering. If it does not reach this degree, the act is considered ill-treatment.</w:t>
      </w:r>
    </w:p>
    <w:p w14:paraId="71324C88"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lastRenderedPageBreak/>
        <w:t>2. Custody criterion: The victim must be detained by or under the control of the perpetrator; otherwise, the act does not constitute torture.</w:t>
      </w:r>
    </w:p>
    <w:p w14:paraId="31AEF2E5"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3. Special intent: The act must be committed for a specific purpose, such as obtaining a confession, imposing punishment, intimidation, or discrimination. If these motives are absent, the act does not amount to torture.</w:t>
      </w:r>
    </w:p>
    <w:p w14:paraId="1FA90DD7"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 xml:space="preserve">Bahraini legislation confirms these criteria </w:t>
      </w:r>
      <w:proofErr w:type="gramStart"/>
      <w:r w:rsidRPr="00863B82">
        <w:rPr>
          <w:rFonts w:ascii="Sakkal Majalla" w:hAnsi="Sakkal Majalla" w:cs="Sakkal Majalla"/>
          <w:sz w:val="32"/>
          <w:szCs w:val="32"/>
        </w:rPr>
        <w:t>and also</w:t>
      </w:r>
      <w:proofErr w:type="gramEnd"/>
      <w:r w:rsidRPr="00863B82">
        <w:rPr>
          <w:rFonts w:ascii="Sakkal Majalla" w:hAnsi="Sakkal Majalla" w:cs="Sakkal Majalla"/>
          <w:sz w:val="32"/>
          <w:szCs w:val="32"/>
        </w:rPr>
        <w:t xml:space="preserve"> criminalizes acts that do not reach the level of torture, such as minor assault or degrading treatment, reflecting the comprehensiveness and complementarity of legal protection in addressing all forms of abuse.</w:t>
      </w:r>
    </w:p>
    <w:p w14:paraId="3384B1FF"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The Unit emphasizes that its founding decree and operational instructions define its jurisdiction to include crimes of torture, as well as crimes of ill-treatment, cruel, inhuman, or degrading punishment, which may encompass offenses affecting life, honor, and bodily integrity under Chapters I and II of Title VIII of the Penal Code; crimes against liberty under Chapter III; and crimes of ill-treatment and cruel punishment under Articles 207, 209, 210, and 213 of the Penal Code.</w:t>
      </w:r>
    </w:p>
    <w:p w14:paraId="04AD42A8" w14:textId="77777777" w:rsidR="00232F0F" w:rsidRPr="00863B82" w:rsidRDefault="00232F0F" w:rsidP="0085624E">
      <w:pPr>
        <w:bidi w:val="0"/>
        <w:spacing w:line="240" w:lineRule="auto"/>
        <w:jc w:val="lowKashida"/>
        <w:rPr>
          <w:rFonts w:ascii="Sakkal Majalla" w:hAnsi="Sakkal Majalla" w:cs="Sakkal Majalla"/>
          <w:sz w:val="32"/>
          <w:szCs w:val="32"/>
        </w:rPr>
      </w:pPr>
      <w:r w:rsidRPr="00863B82">
        <w:rPr>
          <w:rFonts w:ascii="Sakkal Majalla" w:hAnsi="Sakkal Majalla" w:cs="Sakkal Majalla"/>
          <w:sz w:val="32"/>
          <w:szCs w:val="32"/>
        </w:rPr>
        <w:t>The Unit has not received any complaints related to retaliation in recent years, noting that legal avenues are available through the Victims and Witnesses Affairs Division within the Unit to activate protective legal measures whenever necessary.</w:t>
      </w:r>
    </w:p>
    <w:p w14:paraId="0D31B576" w14:textId="77777777" w:rsidR="0085624E" w:rsidRPr="00863B82" w:rsidRDefault="00232F0F" w:rsidP="0085624E">
      <w:pPr>
        <w:pStyle w:val="NormalWeb"/>
        <w:jc w:val="lowKashida"/>
        <w:rPr>
          <w:rStyle w:val="Strong"/>
          <w:rFonts w:ascii="Sakkal Majalla" w:eastAsiaTheme="majorEastAsi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Prisoners and Detainees Rights Commission (PDRC)</w:t>
      </w:r>
    </w:p>
    <w:p w14:paraId="05E2D14B" w14:textId="470B1781"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The Commission is one of the fundamental national pillars within Bahrain’s framework for preventing torture and ill-treatment, alongside the Ombudsman’s Office, the Special Investigation Unit, and the National Institution for Human Rights. The Commission was established to carry out independent inspection and oversight of places of detention according to a preventive methodology closely resembling the model of National Preventive Mechanisms (NPMs) set out in the Optional Protocol to the Convention against Torture. This mandate positions the Commission as a primary tool for translating international standards—particularly </w:t>
      </w:r>
      <w:r w:rsidRPr="00863B82">
        <w:rPr>
          <w:rFonts w:ascii="Sakkal Majalla" w:hAnsi="Sakkal Majalla" w:cs="Sakkal Majalla"/>
          <w:color w:val="000000"/>
          <w:sz w:val="32"/>
          <w:szCs w:val="32"/>
        </w:rPr>
        <w:lastRenderedPageBreak/>
        <w:t>the Nelson Mandela Rules and the standards of preventive mechanisms—into daily practice within correctional facilities, detention centers, and shelters for juveniles.</w:t>
      </w:r>
    </w:p>
    <w:p w14:paraId="6983EECE"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Prisoners and Detainees Rights Commission was established by</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Decree No. (61) of 2013</w:t>
      </w:r>
      <w:r w:rsidRPr="00863B82">
        <w:rPr>
          <w:rFonts w:ascii="Sakkal Majalla" w:hAnsi="Sakkal Majalla" w:cs="Sakkal Majalla"/>
          <w:color w:val="000000"/>
          <w:sz w:val="32"/>
          <w:szCs w:val="32"/>
        </w:rPr>
        <w:t xml:space="preserve">, drafted in a manner that reflects Bahrain’s obligations under the Convention against Torture and </w:t>
      </w:r>
      <w:proofErr w:type="gramStart"/>
      <w:r w:rsidRPr="00863B82">
        <w:rPr>
          <w:rFonts w:ascii="Sakkal Majalla" w:hAnsi="Sakkal Majalla" w:cs="Sakkal Majalla"/>
          <w:color w:val="000000"/>
          <w:sz w:val="32"/>
          <w:szCs w:val="32"/>
        </w:rPr>
        <w:t>takes into account</w:t>
      </w:r>
      <w:proofErr w:type="gramEnd"/>
      <w:r w:rsidRPr="00863B82">
        <w:rPr>
          <w:rFonts w:ascii="Sakkal Majalla" w:hAnsi="Sakkal Majalla" w:cs="Sakkal Majalla"/>
          <w:color w:val="000000"/>
          <w:sz w:val="32"/>
          <w:szCs w:val="32"/>
        </w:rPr>
        <w:t xml:space="preserve"> the principles of the Optional Protocol. This Decree defines the Commission’s mandate as follows:</w:t>
      </w:r>
    </w:p>
    <w:p w14:paraId="056D3665" w14:textId="04EB41E8" w:rsidR="00232F0F" w:rsidRPr="00863B82" w:rsidRDefault="00232F0F" w:rsidP="0085624E">
      <w:pPr>
        <w:pStyle w:val="NormalWeb"/>
        <w:rPr>
          <w:rFonts w:ascii="Sakkal Majalla" w:hAnsi="Sakkal Majalla" w:cs="Sakkal Majalla"/>
          <w:color w:val="000000"/>
          <w:sz w:val="32"/>
          <w:szCs w:val="32"/>
        </w:rPr>
      </w:pPr>
      <w:r w:rsidRPr="00863B82">
        <w:rPr>
          <w:rFonts w:ascii="Sakkal Majalla" w:hAnsi="Sakkal Majalla" w:cs="Sakkal Majalla"/>
          <w:color w:val="000000"/>
          <w:sz w:val="32"/>
          <w:szCs w:val="32"/>
        </w:rPr>
        <w:t>•Conducting regular and unannounced visits to all places of detention and correction, including:</w:t>
      </w:r>
      <w:r w:rsidRPr="00863B82">
        <w:rPr>
          <w:rFonts w:ascii="Sakkal Majalla" w:hAnsi="Sakkal Majalla" w:cs="Sakkal Majalla"/>
          <w:color w:val="000000"/>
          <w:sz w:val="32"/>
          <w:szCs w:val="32"/>
        </w:rPr>
        <w:br/>
      </w:r>
      <w:r w:rsidRPr="00863B82">
        <w:rPr>
          <w:rFonts w:ascii="Sakkal Majalla" w:hAnsi="Sakkal Majalla" w:cs="Sakkal Majalla"/>
          <w:color w:val="000000"/>
          <w:sz w:val="32"/>
          <w:szCs w:val="32"/>
        </w:rPr>
        <w:t> </w:t>
      </w:r>
      <w:r w:rsidRPr="00863B82">
        <w:rPr>
          <w:rFonts w:ascii="Sakkal Majalla" w:hAnsi="Sakkal Majalla" w:cs="Sakkal Majalla"/>
          <w:color w:val="000000"/>
          <w:sz w:val="32"/>
          <w:szCs w:val="32"/>
        </w:rPr>
        <w:t>• Correctional and rehabilitation institutions.</w:t>
      </w:r>
      <w:r w:rsidRPr="00863B82">
        <w:rPr>
          <w:rFonts w:ascii="Sakkal Majalla" w:hAnsi="Sakkal Majalla" w:cs="Sakkal Majalla"/>
          <w:color w:val="000000"/>
          <w:sz w:val="32"/>
          <w:szCs w:val="32"/>
        </w:rPr>
        <w:br/>
      </w:r>
      <w:r w:rsidRPr="00863B82">
        <w:rPr>
          <w:rFonts w:ascii="Sakkal Majalla" w:hAnsi="Sakkal Majalla" w:cs="Sakkal Majalla"/>
          <w:color w:val="000000"/>
          <w:sz w:val="32"/>
          <w:szCs w:val="32"/>
        </w:rPr>
        <w:t> </w:t>
      </w:r>
      <w:r w:rsidRPr="00863B82">
        <w:rPr>
          <w:rFonts w:ascii="Sakkal Majalla" w:hAnsi="Sakkal Majalla" w:cs="Sakkal Majalla"/>
          <w:color w:val="000000"/>
          <w:sz w:val="32"/>
          <w:szCs w:val="32"/>
        </w:rPr>
        <w:t>• Pre-trial detention and holding centers.</w:t>
      </w:r>
      <w:r w:rsidRPr="00863B82">
        <w:rPr>
          <w:rFonts w:ascii="Sakkal Majalla" w:hAnsi="Sakkal Majalla" w:cs="Sakkal Majalla"/>
          <w:color w:val="000000"/>
          <w:sz w:val="32"/>
          <w:szCs w:val="32"/>
        </w:rPr>
        <w:br/>
      </w:r>
      <w:r w:rsidRPr="00863B82">
        <w:rPr>
          <w:rFonts w:ascii="Sakkal Majalla" w:hAnsi="Sakkal Majalla" w:cs="Sakkal Majalla"/>
          <w:color w:val="000000"/>
          <w:sz w:val="32"/>
          <w:szCs w:val="32"/>
        </w:rPr>
        <w:t> </w:t>
      </w:r>
      <w:r w:rsidRPr="00863B82">
        <w:rPr>
          <w:rFonts w:ascii="Sakkal Majalla" w:hAnsi="Sakkal Majalla" w:cs="Sakkal Majalla"/>
          <w:color w:val="000000"/>
          <w:sz w:val="32"/>
          <w:szCs w:val="32"/>
        </w:rPr>
        <w:t>• Juvenile detention facilities.</w:t>
      </w:r>
      <w:r w:rsidRPr="00863B82">
        <w:rPr>
          <w:rFonts w:ascii="Sakkal Majalla" w:hAnsi="Sakkal Majalla" w:cs="Sakkal Majalla"/>
          <w:color w:val="000000"/>
          <w:sz w:val="32"/>
          <w:szCs w:val="32"/>
        </w:rPr>
        <w:br/>
      </w:r>
      <w:r w:rsidRPr="00863B82">
        <w:rPr>
          <w:rFonts w:ascii="Sakkal Majalla" w:hAnsi="Sakkal Majalla" w:cs="Sakkal Majalla"/>
          <w:color w:val="000000"/>
          <w:sz w:val="32"/>
          <w:szCs w:val="32"/>
        </w:rPr>
        <w:t> </w:t>
      </w:r>
      <w:r w:rsidRPr="00863B82">
        <w:rPr>
          <w:rFonts w:ascii="Sakkal Majalla" w:hAnsi="Sakkal Majalla" w:cs="Sakkal Majalla"/>
          <w:color w:val="000000"/>
          <w:sz w:val="32"/>
          <w:szCs w:val="32"/>
        </w:rPr>
        <w:t xml:space="preserve">• Any other places in which </w:t>
      </w:r>
      <w:proofErr w:type="gramStart"/>
      <w:r w:rsidRPr="00863B82">
        <w:rPr>
          <w:rFonts w:ascii="Sakkal Majalla" w:hAnsi="Sakkal Majalla" w:cs="Sakkal Majalla"/>
          <w:color w:val="000000"/>
          <w:sz w:val="32"/>
          <w:szCs w:val="32"/>
        </w:rPr>
        <w:t>persons</w:t>
      </w:r>
      <w:proofErr w:type="gramEnd"/>
      <w:r w:rsidRPr="00863B82">
        <w:rPr>
          <w:rFonts w:ascii="Sakkal Majalla" w:hAnsi="Sakkal Majalla" w:cs="Sakkal Majalla"/>
          <w:color w:val="000000"/>
          <w:sz w:val="32"/>
          <w:szCs w:val="32"/>
        </w:rPr>
        <w:t xml:space="preserve"> may lawfully be deprived of their liberty, such as psychiatric hospitals and social care homes.</w:t>
      </w:r>
    </w:p>
    <w:p w14:paraId="49CC8733"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Verifying the conditions of inmates and detainees and assessing their compliance with national and international standards.</w:t>
      </w:r>
    </w:p>
    <w:p w14:paraId="466B8672"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 Preparing independent reports containing observations and </w:t>
      </w:r>
      <w:proofErr w:type="gramStart"/>
      <w:r w:rsidRPr="00863B82">
        <w:rPr>
          <w:rFonts w:ascii="Sakkal Majalla" w:hAnsi="Sakkal Majalla" w:cs="Sakkal Majalla"/>
          <w:color w:val="000000"/>
          <w:sz w:val="32"/>
          <w:szCs w:val="32"/>
        </w:rPr>
        <w:t>recommendations, and</w:t>
      </w:r>
      <w:proofErr w:type="gramEnd"/>
      <w:r w:rsidRPr="00863B82">
        <w:rPr>
          <w:rFonts w:ascii="Sakkal Majalla" w:hAnsi="Sakkal Majalla" w:cs="Sakkal Majalla"/>
          <w:color w:val="000000"/>
          <w:sz w:val="32"/>
          <w:szCs w:val="32"/>
        </w:rPr>
        <w:t xml:space="preserve"> publishing them to the public or submitting them to the competent authorities.</w:t>
      </w:r>
    </w:p>
    <w:p w14:paraId="261191DE"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Proposing the development of legislation and policies related to the treatment of prisoners and detainees.</w:t>
      </w:r>
    </w:p>
    <w:p w14:paraId="0B15ABF2"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Commission is reconstituted periodically through royal orders and decrees, including</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Royal Order No. (24) of 2024</w:t>
      </w:r>
      <w:r w:rsidRPr="00863B82">
        <w:rPr>
          <w:rFonts w:ascii="Sakkal Majalla" w:hAnsi="Sakkal Majalla" w:cs="Sakkal Majalla"/>
          <w:color w:val="000000"/>
          <w:sz w:val="32"/>
          <w:szCs w:val="32"/>
        </w:rPr>
        <w:t>, which formed the most recent composition of the Commission, consisting of judges, legal experts, and individuals with expertise in human rights. The inclusion of judges and legal experts provides the Commission with significant technical and legal weight and assists it in assessing the extent to which correctional institutions comply with constitutional and legal safeguards.</w:t>
      </w:r>
    </w:p>
    <w:p w14:paraId="59722287"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lastRenderedPageBreak/>
        <w:t>With respect to the independence of the Commission:</w:t>
      </w:r>
      <w:r w:rsidRPr="00863B82">
        <w:rPr>
          <w:rFonts w:ascii="Sakkal Majalla" w:hAnsi="Sakkal Majalla" w:cs="Sakkal Majalla"/>
          <w:color w:val="000000"/>
          <w:sz w:val="32"/>
          <w:szCs w:val="32"/>
        </w:rPr>
        <w:br/>
        <w:t>The Commission is classified as a financially and administratively independent body. It has the authority to set its own work plans, determine the locations of its visits, and prepare its reports without direct interference from the executive authority. The decree establishing the Commission also enshrines its right to: enter places of detention without prior notice; meet inmates and detainees individually; and access records and files related to admission, healthcare, and disciplinary matters. These are essential elements of any effective preventive oversight mechanism in accordance with the Optional Protocol to the Convention against Torture.</w:t>
      </w:r>
    </w:p>
    <w:p w14:paraId="0AA3770E"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Commission’s Inspection Methodology – The Preventive Mechanism Model:</w:t>
      </w:r>
      <w:r w:rsidRPr="00863B82">
        <w:rPr>
          <w:rFonts w:ascii="Sakkal Majalla" w:hAnsi="Sakkal Majalla" w:cs="Sakkal Majalla"/>
          <w:color w:val="000000"/>
          <w:sz w:val="32"/>
          <w:szCs w:val="32"/>
        </w:rPr>
        <w:br/>
        <w:t>The Commission follows a clear inspection methodology based on:</w:t>
      </w:r>
    </w:p>
    <w:p w14:paraId="3C1AF7AD" w14:textId="77777777" w:rsidR="00232F0F" w:rsidRPr="00863B82" w:rsidRDefault="00232F0F" w:rsidP="0085624E">
      <w:pPr>
        <w:pStyle w:val="NormalWeb"/>
        <w:numPr>
          <w:ilvl w:val="0"/>
          <w:numId w:val="70"/>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Announced visits: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in which the relevant authority is notified in advance.</w:t>
      </w:r>
    </w:p>
    <w:p w14:paraId="719C8C66" w14:textId="77777777" w:rsidR="00232F0F" w:rsidRPr="00863B82" w:rsidRDefault="00232F0F" w:rsidP="0085624E">
      <w:pPr>
        <w:pStyle w:val="NormalWeb"/>
        <w:numPr>
          <w:ilvl w:val="0"/>
          <w:numId w:val="70"/>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Unannounced visits: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 xml:space="preserve">in which entry into places of detention occurs without </w:t>
      </w:r>
      <w:proofErr w:type="gramStart"/>
      <w:r w:rsidRPr="00863B82">
        <w:rPr>
          <w:rFonts w:ascii="Sakkal Majalla" w:hAnsi="Sakkal Majalla" w:cs="Sakkal Majalla"/>
          <w:color w:val="000000"/>
          <w:sz w:val="32"/>
          <w:szCs w:val="32"/>
        </w:rPr>
        <w:t>prior warning</w:t>
      </w:r>
      <w:proofErr w:type="gramEnd"/>
      <w:r w:rsidRPr="00863B82">
        <w:rPr>
          <w:rFonts w:ascii="Sakkal Majalla" w:hAnsi="Sakkal Majalla" w:cs="Sakkal Majalla"/>
          <w:color w:val="000000"/>
          <w:sz w:val="32"/>
          <w:szCs w:val="32"/>
        </w:rPr>
        <w:t>, and these are the most important from a preventive perspective.</w:t>
      </w:r>
    </w:p>
    <w:p w14:paraId="1DC31C1E"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According to Bahrain’s Fourth Report to the Committee against Torture, the Commission carried out 10 announced and unannounced visits during the period 2017–2019, covering correctional and rehabilitation centers, detention facilities, and other places used for holding juveniles. According to more recent data, since its establishment and up to 2025, the Commission has conducted more than 30 field visits to various detention locations, in addition to inspection visits to open prisons and alternative sentencing programs, in cooperation with the judiciary and other human rights institutions.</w:t>
      </w:r>
    </w:p>
    <w:p w14:paraId="611A7680"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In practical terms, the Commission relies </w:t>
      </w:r>
      <w:proofErr w:type="gramStart"/>
      <w:r w:rsidRPr="00863B82">
        <w:rPr>
          <w:rFonts w:ascii="Sakkal Majalla" w:hAnsi="Sakkal Majalla" w:cs="Sakkal Majalla"/>
          <w:color w:val="000000"/>
          <w:sz w:val="32"/>
          <w:szCs w:val="32"/>
        </w:rPr>
        <w:t>in</w:t>
      </w:r>
      <w:proofErr w:type="gramEnd"/>
      <w:r w:rsidRPr="00863B82">
        <w:rPr>
          <w:rFonts w:ascii="Sakkal Majalla" w:hAnsi="Sakkal Majalla" w:cs="Sakkal Majalla"/>
          <w:color w:val="000000"/>
          <w:sz w:val="32"/>
          <w:szCs w:val="32"/>
        </w:rPr>
        <w:t xml:space="preserve"> its visits on a methodology </w:t>
      </w:r>
      <w:proofErr w:type="gramStart"/>
      <w:r w:rsidRPr="00863B82">
        <w:rPr>
          <w:rFonts w:ascii="Sakkal Majalla" w:hAnsi="Sakkal Majalla" w:cs="Sakkal Majalla"/>
          <w:color w:val="000000"/>
          <w:sz w:val="32"/>
          <w:szCs w:val="32"/>
        </w:rPr>
        <w:t>similar to</w:t>
      </w:r>
      <w:proofErr w:type="gramEnd"/>
      <w:r w:rsidRPr="00863B82">
        <w:rPr>
          <w:rFonts w:ascii="Sakkal Majalla" w:hAnsi="Sakkal Majalla" w:cs="Sakkal Majalla"/>
          <w:color w:val="000000"/>
          <w:sz w:val="32"/>
          <w:szCs w:val="32"/>
        </w:rPr>
        <w:t xml:space="preserve"> Ombudsman offices and preventive mechanisms, which includes:</w:t>
      </w:r>
    </w:p>
    <w:p w14:paraId="4F40F0E7"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Examination of facility infrastructure:</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ventilation, lighting, cleanliness, space, and the number of inmates in each ward.</w:t>
      </w:r>
      <w:r w:rsidRPr="00863B82">
        <w:rPr>
          <w:rFonts w:ascii="Sakkal Majalla" w:hAnsi="Sakkal Majalla" w:cs="Sakkal Majalla"/>
          <w:color w:val="000000"/>
          <w:sz w:val="32"/>
          <w:szCs w:val="32"/>
        </w:rPr>
        <w:b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Review of records and files: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 xml:space="preserve">admission orders, detention durations, medical records, and </w:t>
      </w:r>
      <w:r w:rsidRPr="00863B82">
        <w:rPr>
          <w:rFonts w:ascii="Sakkal Majalla" w:hAnsi="Sakkal Majalla" w:cs="Sakkal Majalla"/>
          <w:color w:val="000000"/>
          <w:sz w:val="32"/>
          <w:szCs w:val="32"/>
        </w:rPr>
        <w:lastRenderedPageBreak/>
        <w:t>disciplinary files.</w:t>
      </w:r>
      <w:r w:rsidRPr="00863B82">
        <w:rPr>
          <w:rFonts w:ascii="Sakkal Majalla" w:hAnsi="Sakkal Majalla" w:cs="Sakkal Majalla"/>
          <w:color w:val="000000"/>
          <w:sz w:val="32"/>
          <w:szCs w:val="32"/>
        </w:rPr>
        <w:b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Individual and confidential interviews with inmates</w:t>
      </w:r>
      <w:r w:rsidRPr="00863B82">
        <w:rPr>
          <w:rFonts w:ascii="Sakkal Majalla" w:hAnsi="Sakkal Majalla" w:cs="Sakkal Majalla"/>
          <w:color w:val="000000"/>
          <w:sz w:val="32"/>
          <w:szCs w:val="32"/>
        </w:rPr>
        <w:t>, focusing on complaints related to torture or ill-treatment, healthcare and medication, family communication and visitation, and interviews with facility management and medical staff to discuss applicable standards and complaint-management procedures.</w:t>
      </w:r>
      <w:r w:rsidRPr="00863B82">
        <w:rPr>
          <w:rFonts w:ascii="Sakkal Majalla" w:hAnsi="Sakkal Majalla" w:cs="Sakkal Majalla"/>
          <w:color w:val="000000"/>
          <w:sz w:val="32"/>
          <w:szCs w:val="32"/>
        </w:rPr>
        <w:b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Comparison of actual conditions with international standards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(the Nelson Mandela Rules, the Tokyo Rules on non-custodial measures, the Basic Principles for the Treatment of Prisoners, etc.).</w:t>
      </w:r>
      <w:r w:rsidRPr="00863B82">
        <w:rPr>
          <w:rFonts w:ascii="Sakkal Majalla" w:hAnsi="Sakkal Majalla" w:cs="Sakkal Majalla"/>
          <w:color w:val="000000"/>
          <w:sz w:val="32"/>
          <w:szCs w:val="32"/>
        </w:rPr>
        <w:b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Drafting a detailed report</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that includes an objective presentation of the existing situation, observations regarding shortcomings and areas for improvement, and time-bound, measurable recommendations.</w:t>
      </w:r>
    </w:p>
    <w:p w14:paraId="0966B70C"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This methodology represents the core of modern preventive mechanisms: focusing on the structural and systematic analysis of detention conditions, rather than limiting oversight to individual complaints.</w:t>
      </w:r>
    </w:p>
    <w:p w14:paraId="4488F4C4"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The Commission as a Preventive Mechanism – It Does Not Conduct Judicial Investigations:</w:t>
      </w:r>
      <w:r w:rsidRPr="00863B82">
        <w:rPr>
          <w:rFonts w:ascii="Sakkal Majalla" w:hAnsi="Sakkal Majalla" w:cs="Sakkal Majalla"/>
          <w:color w:val="000000"/>
          <w:sz w:val="32"/>
          <w:szCs w:val="32"/>
        </w:rPr>
        <w:br/>
        <w:t xml:space="preserve">Like the Ombudsman’s Office, the Commission is based on a philosophy of prevention, inspection, and recommendation, rather than criminal investigation or issuing judgments. The Commission does not conduct criminal judicial investigations and does not have the authority to bring charges or initiate criminal proceedings. Its role consists </w:t>
      </w:r>
      <w:proofErr w:type="gramStart"/>
      <w:r w:rsidRPr="00863B82">
        <w:rPr>
          <w:rFonts w:ascii="Sakkal Majalla" w:hAnsi="Sakkal Majalla" w:cs="Sakkal Majalla"/>
          <w:color w:val="000000"/>
          <w:sz w:val="32"/>
          <w:szCs w:val="32"/>
        </w:rPr>
        <w:t>of:</w:t>
      </w:r>
      <w:proofErr w:type="gramEnd"/>
      <w:r w:rsidRPr="00863B82">
        <w:rPr>
          <w:rFonts w:ascii="Sakkal Majalla" w:hAnsi="Sakkal Majalla" w:cs="Sakkal Majalla"/>
          <w:color w:val="000000"/>
          <w:sz w:val="32"/>
          <w:szCs w:val="32"/>
        </w:rPr>
        <w:t xml:space="preserve"> monitoring detention conditions; documenting observations and potential violations; and submitting recommendations to the Ministry of Interior, the Public Prosecution, the Special Investigation Unit, or the relevant legislative and executive authorities.</w:t>
      </w:r>
    </w:p>
    <w:p w14:paraId="5522DFE3"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In cases where indications of torture or cruel treatment are identified, its role is to refer the information to the competent authorities (the Ombudsman’s Office, the Special Investigation Unit, or the Public Prosecution) to initiate a judicial investigation.</w:t>
      </w:r>
    </w:p>
    <w:p w14:paraId="35F3FBC1"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This structure is consistent with the methodologies of Ombudsman offices and national preventive mechanisms worldwide, whose roles are typically limited </w:t>
      </w:r>
      <w:proofErr w:type="gramStart"/>
      <w:r w:rsidRPr="00863B82">
        <w:rPr>
          <w:rFonts w:ascii="Sakkal Majalla" w:hAnsi="Sakkal Majalla" w:cs="Sakkal Majalla"/>
          <w:color w:val="000000"/>
          <w:sz w:val="32"/>
          <w:szCs w:val="32"/>
        </w:rPr>
        <w:t>to:</w:t>
      </w:r>
      <w:proofErr w:type="gramEnd"/>
      <w:r w:rsidRPr="00863B82">
        <w:rPr>
          <w:rFonts w:ascii="Sakkal Majalla" w:hAnsi="Sakkal Majalla" w:cs="Sakkal Majalla"/>
          <w:color w:val="000000"/>
          <w:sz w:val="32"/>
          <w:szCs w:val="32"/>
        </w:rPr>
        <w:t xml:space="preserve"> inspection, assessment, </w:t>
      </w:r>
      <w:r w:rsidRPr="00863B82">
        <w:rPr>
          <w:rFonts w:ascii="Sakkal Majalla" w:hAnsi="Sakkal Majalla" w:cs="Sakkal Majalla"/>
          <w:color w:val="000000"/>
          <w:sz w:val="32"/>
          <w:szCs w:val="32"/>
        </w:rPr>
        <w:lastRenderedPageBreak/>
        <w:t>recommendation, and follow-up — rather than replacing the prosecution or judiciary in investigating or determining criminal responsibility.</w:t>
      </w:r>
    </w:p>
    <w:p w14:paraId="6C0DF15A"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Effectiveness of the Commission – Practical and Statistical Indicators:</w:t>
      </w:r>
    </w:p>
    <w:p w14:paraId="6DF10C85"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A. Visits and Reports as a Tool for Change:</w:t>
      </w:r>
      <w:r w:rsidRPr="00863B82">
        <w:rPr>
          <w:rFonts w:ascii="Sakkal Majalla" w:hAnsi="Sakkal Majalla" w:cs="Sakkal Majalla"/>
          <w:color w:val="000000"/>
          <w:sz w:val="32"/>
          <w:szCs w:val="32"/>
        </w:rPr>
        <w:br/>
        <w:t>The Commission’s reports have contributed to:</w:t>
      </w:r>
    </w:p>
    <w:p w14:paraId="537A29D9"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Highlighting the need to develop infrastructure in some correction and rehabilitation facilities, which coincided with government projects to construct new buildings, reduce overcrowding, and expand medical clinics, particularly in Jau Prison and other centers.</w:t>
      </w:r>
    </w:p>
    <w:p w14:paraId="10A45A74"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Strengthening the transfer of healthcare clinics in correctional facilities to the authority of government hospitals, thereby ensuring the independence of healthcare services from the security administration — a fundamental step in separating the healthcare provider from the detaining authority.</w:t>
      </w:r>
    </w:p>
    <w:p w14:paraId="0C2EC7D8"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Developing procedures related to solitary confinement, including maximum durations, medical examinations before, during, and after the enforcement of the sanction, and the inmate’s right to file a grievance. These matters were included in the recent amendments to the Law on the Correction and Rehabilitation Institution and its Executive Regulations, as referenced in Bahrain’s international reports.</w:t>
      </w:r>
    </w:p>
    <w:p w14:paraId="79B569AE"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Conducting more than 100 inspection visits to open prison programs and alternative sentencing programs, in cooperation with judges, prosecutors, and representatives of the National Institution for Human Rights and the Ombudsman’s Office. These visits included direct interviews with beneficiaries to assess implementation conditions and safeguards.</w:t>
      </w:r>
    </w:p>
    <w:p w14:paraId="3FA42B9A"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B. International Recognition of the Commission’s Work:</w:t>
      </w:r>
      <w:r w:rsidRPr="00863B82">
        <w:rPr>
          <w:rFonts w:ascii="Sakkal Majalla" w:hAnsi="Sakkal Majalla" w:cs="Sakkal Majalla"/>
          <w:color w:val="000000"/>
          <w:sz w:val="32"/>
          <w:szCs w:val="32"/>
        </w:rPr>
        <w:br/>
        <w:t xml:space="preserve">Several states at the Human Rights Council, during the Universal Periodic Review, commended the role of the Commission as part of the national framework for the prevention of torture. It was </w:t>
      </w:r>
      <w:r w:rsidRPr="00863B82">
        <w:rPr>
          <w:rFonts w:ascii="Sakkal Majalla" w:hAnsi="Sakkal Majalla" w:cs="Sakkal Majalla"/>
          <w:color w:val="000000"/>
          <w:sz w:val="32"/>
          <w:szCs w:val="32"/>
        </w:rPr>
        <w:lastRenderedPageBreak/>
        <w:t>recognized as contributing to enhanced transparency within places of detention, and the establishment of the Commission was viewed as a step toward alignment with the Optional Protocol, alongside the Ombudsman’s Office and the National Institution for Human Rights.</w:t>
      </w:r>
    </w:p>
    <w:p w14:paraId="352B96EA" w14:textId="23AF1D19" w:rsidR="008B206C" w:rsidRPr="00863B82" w:rsidRDefault="008B206C" w:rsidP="008B206C">
      <w:pPr>
        <w:pStyle w:val="NormalWeb"/>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shd w:val="clear" w:color="auto" w:fill="D9D9D9" w:themeFill="background1" w:themeFillShade="D9"/>
        </w:rPr>
        <w:t>Topic</w:t>
      </w:r>
      <w:r w:rsidR="00232F0F" w:rsidRPr="00863B82">
        <w:rPr>
          <w:rStyle w:val="Strong"/>
          <w:rFonts w:ascii="Sakkal Majalla" w:eastAsiaTheme="majorEastAsia" w:hAnsi="Sakkal Majalla" w:cs="Sakkal Majalla"/>
          <w:color w:val="000000"/>
          <w:sz w:val="32"/>
          <w:szCs w:val="32"/>
          <w:shd w:val="clear" w:color="auto" w:fill="D9D9D9" w:themeFill="background1" w:themeFillShade="D9"/>
        </w:rPr>
        <w:t xml:space="preserve"> </w:t>
      </w:r>
      <w:r w:rsidR="00192AFE" w:rsidRPr="00863B82">
        <w:rPr>
          <w:rStyle w:val="Strong"/>
          <w:rFonts w:ascii="Sakkal Majalla" w:eastAsiaTheme="majorEastAsia" w:hAnsi="Sakkal Majalla" w:cs="Sakkal Majalla"/>
          <w:color w:val="000000"/>
          <w:sz w:val="32"/>
          <w:szCs w:val="32"/>
          <w:shd w:val="clear" w:color="auto" w:fill="D9D9D9" w:themeFill="background1" w:themeFillShade="D9"/>
        </w:rPr>
        <w:t>27</w:t>
      </w:r>
      <w:r w:rsidR="00232F0F" w:rsidRPr="00863B82">
        <w:rPr>
          <w:rStyle w:val="Strong"/>
          <w:rFonts w:ascii="Sakkal Majalla" w:eastAsiaTheme="majorEastAsia" w:hAnsi="Sakkal Majalla" w:cs="Sakkal Majalla"/>
          <w:color w:val="000000"/>
          <w:sz w:val="32"/>
          <w:szCs w:val="32"/>
          <w:shd w:val="clear" w:color="auto" w:fill="D9D9D9" w:themeFill="background1" w:themeFillShade="D9"/>
        </w:rPr>
        <w:t>: Safeguards within Psychiatric Institutions and the Role of</w:t>
      </w:r>
      <w:r w:rsidRPr="00863B82">
        <w:rPr>
          <w:rStyle w:val="Strong"/>
          <w:rFonts w:ascii="Sakkal Majalla" w:eastAsiaTheme="majorEastAsia" w:hAnsi="Sakkal Majalla" w:cs="Sakkal Majalla"/>
          <w:color w:val="000000"/>
          <w:sz w:val="32"/>
          <w:szCs w:val="32"/>
          <w:shd w:val="clear" w:color="auto" w:fill="D9D9D9" w:themeFill="background1" w:themeFillShade="D9"/>
        </w:rPr>
        <w:t xml:space="preserve"> </w:t>
      </w:r>
      <w:r w:rsidR="00232F0F" w:rsidRPr="00863B82">
        <w:rPr>
          <w:rStyle w:val="Strong"/>
          <w:rFonts w:ascii="Sakkal Majalla" w:eastAsiaTheme="majorEastAsia" w:hAnsi="Sakkal Majalla" w:cs="Sakkal Majalla"/>
          <w:color w:val="000000"/>
          <w:sz w:val="32"/>
          <w:szCs w:val="32"/>
          <w:shd w:val="clear" w:color="auto" w:fill="D9D9D9" w:themeFill="background1" w:themeFillShade="D9"/>
        </w:rPr>
        <w:t>Independent Oversight Mechanisms</w:t>
      </w:r>
    </w:p>
    <w:p w14:paraId="1829824C" w14:textId="2467977F"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Psychiatric Hospital in Bahrain is one of the specialized healthcare facilities where patients may receive psychiatric treatment, including individuals deprived of their liberty by judicial or security decisions, or those transferred from correctional and rehabilitation centers. In line with Bahrain’s national obligations under the Convention against Torture, independent national bodies—foremost among them the National Institution for Human Rights and the Prisoners and Detainees Rights Commission—have carried out repeated field visits to the hospital from 2019 to 2024. These visits aimed to verify the soundness of procedures, ensure the humane treatment of patients, assess treatment conditions, and identify any concerns related to ill-treatment, discrimination, or medical neglect.</w:t>
      </w:r>
    </w:p>
    <w:p w14:paraId="0B785ECD"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These visits represent a fundamental pillar in the national system for the prevention of torture and are conducted within the framework of transparency and openness to independent oversight within mental healthcare facilities.</w:t>
      </w:r>
    </w:p>
    <w:p w14:paraId="23D99300"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With respect to the mandate of the Prisoners and Detainees Rights Commission regarding this matter: under</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Decree No. (61) of 2013</w:t>
      </w:r>
      <w:r w:rsidRPr="00863B82">
        <w:rPr>
          <w:rFonts w:ascii="Sakkal Majalla" w:hAnsi="Sakkal Majalla" w:cs="Sakkal Majalla"/>
          <w:color w:val="000000"/>
          <w:sz w:val="32"/>
          <w:szCs w:val="32"/>
        </w:rPr>
        <w:t xml:space="preserve">, the Commission has the authority to visit all places where persons may be deprived of their liberty, including psychiatric hospitals that house inmates transferred from detention facilities or convicted persons receiving treatment therein. This legal framework enables the Commission to </w:t>
      </w:r>
      <w:proofErr w:type="gramStart"/>
      <w:r w:rsidRPr="00863B82">
        <w:rPr>
          <w:rFonts w:ascii="Sakkal Majalla" w:hAnsi="Sakkal Majalla" w:cs="Sakkal Majalla"/>
          <w:color w:val="000000"/>
          <w:sz w:val="32"/>
          <w:szCs w:val="32"/>
        </w:rPr>
        <w:t>verify:</w:t>
      </w:r>
      <w:proofErr w:type="gramEnd"/>
      <w:r w:rsidRPr="00863B82">
        <w:rPr>
          <w:rFonts w:ascii="Sakkal Majalla" w:hAnsi="Sakkal Majalla" w:cs="Sakkal Majalla"/>
          <w:color w:val="000000"/>
          <w:sz w:val="32"/>
          <w:szCs w:val="32"/>
        </w:rPr>
        <w:t xml:space="preserve"> admission procedures for transferred patients; conditions of residence and treatment; health and psychological safeguards; and any allegations related to torture or ill-treatment.</w:t>
      </w:r>
    </w:p>
    <w:p w14:paraId="6CE92723"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lastRenderedPageBreak/>
        <w:t>As for the mandate of the National Institution for Human Rights, its law grants it the authority to visit places of detention, monitor the conditions of persons deprived of their liberty, ensure that treatment complies with international standards, receive complaints, and visit patients directly. Accordingly, visits to the Psychiatric Hospital have become a regular component of the Institution’s annual plans.</w:t>
      </w:r>
    </w:p>
    <w:p w14:paraId="478F5623"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Both bodies have consistently carried out specialized qualitative visits to the </w:t>
      </w:r>
      <w:proofErr w:type="gramStart"/>
      <w:r w:rsidRPr="00863B82">
        <w:rPr>
          <w:rFonts w:ascii="Sakkal Majalla" w:hAnsi="Sakkal Majalla" w:cs="Sakkal Majalla"/>
          <w:color w:val="000000"/>
          <w:sz w:val="32"/>
          <w:szCs w:val="32"/>
        </w:rPr>
        <w:t>aforementioned hospital</w:t>
      </w:r>
      <w:proofErr w:type="gramEnd"/>
      <w:r w:rsidRPr="00863B82">
        <w:rPr>
          <w:rFonts w:ascii="Sakkal Majalla" w:hAnsi="Sakkal Majalla" w:cs="Sakkal Majalla"/>
          <w:color w:val="000000"/>
          <w:sz w:val="32"/>
          <w:szCs w:val="32"/>
        </w:rPr>
        <w:t>, including, for example:</w:t>
      </w:r>
    </w:p>
    <w:p w14:paraId="60E85042" w14:textId="77777777" w:rsidR="00232F0F" w:rsidRPr="00863B82" w:rsidRDefault="00232F0F" w:rsidP="0085624E">
      <w:pPr>
        <w:pStyle w:val="NormalWeb"/>
        <w:numPr>
          <w:ilvl w:val="0"/>
          <w:numId w:val="71"/>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Visit by the Prisoners and Detainees Rights Commission – November 2019 (announced visit):</w:t>
      </w:r>
      <w:r w:rsidRPr="00863B82">
        <w:rPr>
          <w:rFonts w:ascii="Sakkal Majalla" w:hAnsi="Sakkal Majalla" w:cs="Sakkal Majalla"/>
          <w:color w:val="000000"/>
          <w:sz w:val="32"/>
          <w:szCs w:val="32"/>
        </w:rPr>
        <w:br/>
        <w:t>This visit, conducted in accordance with the Commission’s methodology, focused on assessing the conditions of patients transferred from detention facilities; reviewing medical and treatment procedures; ensuring that no person remains in a situation resembling security-related detention except where medically necessary and pursuant to a medical decision; in addition to reviewing medical records and conducting confidential interviews with patients without the presence of security staff.</w:t>
      </w:r>
    </w:p>
    <w:p w14:paraId="4B5BE21F" w14:textId="62635918" w:rsidR="00232F0F" w:rsidRPr="00863B82" w:rsidRDefault="00232F0F" w:rsidP="008B206C">
      <w:pPr>
        <w:pStyle w:val="NormalWeb"/>
        <w:numPr>
          <w:ilvl w:val="0"/>
          <w:numId w:val="71"/>
        </w:numPr>
        <w:jc w:val="both"/>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Visits by the National Institution for Human Rights (multiple visits):</w:t>
      </w:r>
      <w:r w:rsidRPr="00863B82">
        <w:rPr>
          <w:rFonts w:ascii="Sakkal Majalla" w:hAnsi="Sakkal Majalla" w:cs="Sakkal Majalla"/>
          <w:color w:val="000000"/>
          <w:sz w:val="32"/>
          <w:szCs w:val="32"/>
        </w:rPr>
        <w:br/>
      </w:r>
      <w:r w:rsidR="008B206C" w:rsidRPr="00863B82">
        <w:rPr>
          <w:rStyle w:val="Strong"/>
          <w:rFonts w:ascii="Sakkal Majalla" w:eastAsiaTheme="majorEastAsia" w:hAnsi="Sakkal Majalla" w:cs="Sakkal Majalla"/>
          <w:b w:val="0"/>
          <w:bCs w:val="0"/>
          <w:color w:val="000000"/>
          <w:sz w:val="32"/>
          <w:szCs w:val="32"/>
        </w:rPr>
        <w:t xml:space="preserve">a. </w:t>
      </w:r>
      <w:r w:rsidRPr="00863B82">
        <w:rPr>
          <w:rStyle w:val="Strong"/>
          <w:rFonts w:ascii="Sakkal Majalla" w:eastAsiaTheme="majorEastAsia" w:hAnsi="Sakkal Majalla" w:cs="Sakkal Majalla"/>
          <w:b w:val="0"/>
          <w:bCs w:val="0"/>
          <w:color w:val="000000"/>
          <w:sz w:val="32"/>
          <w:szCs w:val="32"/>
        </w:rPr>
        <w:t>Visit on 13 June 2019:</w:t>
      </w:r>
      <w:r w:rsidR="008B206C" w:rsidRPr="00863B82">
        <w:rPr>
          <w:rStyle w:val="Strong"/>
          <w:rFonts w:ascii="Sakkal Majalla" w:eastAsiaTheme="majorEastAsia" w:hAnsi="Sakkal Majalla" w:cs="Sakkal Majalla"/>
          <w:b w:val="0"/>
          <w:bCs w:val="0"/>
          <w:color w:val="000000"/>
          <w:sz w:val="32"/>
          <w:szCs w:val="32"/>
        </w:rPr>
        <w:t xml:space="preserve"> </w:t>
      </w:r>
      <w:r w:rsidRPr="00863B82">
        <w:rPr>
          <w:rFonts w:ascii="Sakkal Majalla" w:hAnsi="Sakkal Majalla" w:cs="Sakkal Majalla"/>
          <w:color w:val="000000"/>
          <w:sz w:val="32"/>
          <w:szCs w:val="32"/>
        </w:rPr>
        <w:t>Conducted to assess the conditions of patients, particularly those convicted or transferred from correctional centers. The visit focused on compliance with health requirements, ensuring humane treatment, and evaluating security procedures within the ward.</w:t>
      </w:r>
    </w:p>
    <w:p w14:paraId="1EFE998D" w14:textId="635B4C7C" w:rsidR="00232F0F" w:rsidRPr="00863B82" w:rsidRDefault="00232F0F" w:rsidP="008B206C">
      <w:pPr>
        <w:pStyle w:val="NormalWeb"/>
        <w:ind w:left="720"/>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b. Visit on 6 June 2022 (Committee on Visiting Places of Detention and Facilities):</w:t>
      </w:r>
      <w:r w:rsidR="008B206C" w:rsidRPr="00863B82">
        <w:rPr>
          <w:rFonts w:ascii="Sakkal Majalla" w:hAnsi="Sakkal Majalla" w:cs="Sakkal Majalla"/>
          <w:color w:val="000000"/>
          <w:sz w:val="32"/>
          <w:szCs w:val="32"/>
        </w:rPr>
        <w:t xml:space="preserve"> </w:t>
      </w:r>
      <w:r w:rsidRPr="00863B82">
        <w:rPr>
          <w:rFonts w:ascii="Sakkal Majalla" w:hAnsi="Sakkal Majalla" w:cs="Sakkal Majalla"/>
          <w:color w:val="000000"/>
          <w:sz w:val="32"/>
          <w:szCs w:val="32"/>
        </w:rPr>
        <w:t>The Committee’s Chair and several members visited the hospital, listened to patients and their needs, reviewed the treatment process, examined the procedures for transferring individuals from prison to the hospital, and addressed any complaints raised by patients.</w:t>
      </w:r>
    </w:p>
    <w:p w14:paraId="28558B58" w14:textId="433BD8A3" w:rsidR="00232F0F" w:rsidRPr="00863B82" w:rsidRDefault="00232F0F" w:rsidP="008B206C">
      <w:pPr>
        <w:pStyle w:val="NormalWeb"/>
        <w:ind w:left="720"/>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c. Visit on 26 May 2024 (the hospital’s affiliated building):</w:t>
      </w:r>
      <w:r w:rsidR="008B206C" w:rsidRPr="00863B82">
        <w:rPr>
          <w:rFonts w:ascii="Sakkal Majalla" w:hAnsi="Sakkal Majalla" w:cs="Sakkal Majalla"/>
          <w:color w:val="000000"/>
          <w:sz w:val="32"/>
          <w:szCs w:val="32"/>
        </w:rPr>
        <w:t xml:space="preserve"> </w:t>
      </w:r>
      <w:r w:rsidRPr="00863B82">
        <w:rPr>
          <w:rFonts w:ascii="Sakkal Majalla" w:hAnsi="Sakkal Majalla" w:cs="Sakkal Majalla"/>
          <w:color w:val="000000"/>
          <w:sz w:val="32"/>
          <w:szCs w:val="32"/>
        </w:rPr>
        <w:t xml:space="preserve">The “Comprehensive Field Hospital,” affiliated with the Psychiatric Hospital, was visited. The visiting team confirmed </w:t>
      </w:r>
      <w:r w:rsidRPr="00863B82">
        <w:rPr>
          <w:rFonts w:ascii="Sakkal Majalla" w:hAnsi="Sakkal Majalla" w:cs="Sakkal Majalla"/>
          <w:color w:val="000000"/>
          <w:sz w:val="32"/>
          <w:szCs w:val="32"/>
        </w:rPr>
        <w:lastRenderedPageBreak/>
        <w:t>that they reviewed the level of services, inspected the health facilities, verified compliance with international medical standards, and ensured that there was no security interference affecting the medical treatment pathway.</w:t>
      </w:r>
    </w:p>
    <w:p w14:paraId="74CF6FA1" w14:textId="21FF9D98" w:rsidR="00232F0F" w:rsidRPr="00863B82" w:rsidRDefault="00232F0F" w:rsidP="008B206C">
      <w:pPr>
        <w:pStyle w:val="NormalWeb"/>
        <w:ind w:left="720"/>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d.</w:t>
      </w:r>
      <w:r w:rsidR="008B206C" w:rsidRPr="00863B82">
        <w:rPr>
          <w:rStyle w:val="Strong"/>
          <w:rFonts w:ascii="Sakkal Majalla" w:eastAsiaTheme="majorEastAsia" w:hAnsi="Sakkal Majalla" w:cs="Sakkal Majalla"/>
          <w:b w:val="0"/>
          <w:bCs w:val="0"/>
          <w:color w:val="000000"/>
          <w:sz w:val="32"/>
          <w:szCs w:val="32"/>
        </w:rPr>
        <w:t xml:space="preserve"> </w:t>
      </w:r>
      <w:r w:rsidRPr="00863B82">
        <w:rPr>
          <w:rStyle w:val="Strong"/>
          <w:rFonts w:ascii="Sakkal Majalla" w:eastAsiaTheme="majorEastAsia" w:hAnsi="Sakkal Majalla" w:cs="Sakkal Majalla"/>
          <w:b w:val="0"/>
          <w:bCs w:val="0"/>
          <w:color w:val="000000"/>
          <w:sz w:val="32"/>
          <w:szCs w:val="32"/>
        </w:rPr>
        <w:t>Visit</w:t>
      </w:r>
      <w:r w:rsidR="008B206C" w:rsidRPr="00863B82">
        <w:rPr>
          <w:rStyle w:val="Strong"/>
          <w:rFonts w:ascii="Sakkal Majalla" w:eastAsiaTheme="majorEastAsia" w:hAnsi="Sakkal Majalla" w:cs="Sakkal Majalla"/>
          <w:b w:val="0"/>
          <w:bCs w:val="0"/>
          <w:color w:val="000000"/>
          <w:sz w:val="32"/>
          <w:szCs w:val="32"/>
        </w:rPr>
        <w:t xml:space="preserve"> </w:t>
      </w:r>
      <w:r w:rsidRPr="00863B82">
        <w:rPr>
          <w:rStyle w:val="Strong"/>
          <w:rFonts w:ascii="Sakkal Majalla" w:eastAsiaTheme="majorEastAsia" w:hAnsi="Sakkal Majalla" w:cs="Sakkal Majalla"/>
          <w:b w:val="0"/>
          <w:bCs w:val="0"/>
          <w:color w:val="000000"/>
          <w:sz w:val="32"/>
          <w:szCs w:val="32"/>
        </w:rPr>
        <w:t>in May 2025:</w:t>
      </w:r>
      <w:r w:rsidR="008B206C" w:rsidRPr="00863B82">
        <w:rPr>
          <w:rFonts w:ascii="Sakkal Majalla" w:hAnsi="Sakkal Majalla" w:cs="Sakkal Majalla"/>
          <w:color w:val="000000"/>
          <w:sz w:val="32"/>
          <w:szCs w:val="32"/>
        </w:rPr>
        <w:t xml:space="preserve"> </w:t>
      </w:r>
      <w:r w:rsidRPr="00863B82">
        <w:rPr>
          <w:rFonts w:ascii="Sakkal Majalla" w:hAnsi="Sakkal Majalla" w:cs="Sakkal Majalla"/>
          <w:color w:val="000000"/>
          <w:sz w:val="32"/>
          <w:szCs w:val="32"/>
        </w:rPr>
        <w:t>This visit included interviewing patients, reviewing cases requiring special follow-up, and assessing the conditions of accommodation within the psychiatric treatment units.</w:t>
      </w:r>
    </w:p>
    <w:p w14:paraId="54FA6A53"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It is clear from the outcomes of these multiple visits that they are based on a precise methodology, consistent with the principles of</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National Preventive Mechanisms</w:t>
      </w:r>
      <w:r w:rsidRPr="00863B82">
        <w:rPr>
          <w:rFonts w:ascii="Sakkal Majalla" w:hAnsi="Sakkal Majalla" w:cs="Sakkal Majalla"/>
          <w:color w:val="000000"/>
          <w:sz w:val="32"/>
          <w:szCs w:val="32"/>
        </w:rPr>
        <w:t>, and include the following:</w:t>
      </w:r>
    </w:p>
    <w:p w14:paraId="5814A77A"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First: Ensuring that patients are not subjected to ill-treatment or torture, through:</w:t>
      </w:r>
    </w:p>
    <w:p w14:paraId="14B8AA1E" w14:textId="77777777" w:rsidR="00152DA5" w:rsidRPr="00863B82" w:rsidRDefault="00232F0F" w:rsidP="00152DA5">
      <w:pPr>
        <w:pStyle w:val="NormalWeb"/>
        <w:numPr>
          <w:ilvl w:val="0"/>
          <w:numId w:val="75"/>
        </w:numPr>
        <w:spacing w:before="0" w:before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Conducting individual and confidential interviews with patients without the presence of security personnel.</w:t>
      </w:r>
    </w:p>
    <w:p w14:paraId="6E81773D" w14:textId="77777777" w:rsidR="00152DA5" w:rsidRPr="00863B82" w:rsidRDefault="00232F0F" w:rsidP="00152DA5">
      <w:pPr>
        <w:pStyle w:val="NormalWeb"/>
        <w:numPr>
          <w:ilvl w:val="0"/>
          <w:numId w:val="75"/>
        </w:numPr>
        <w:spacing w:before="0" w:before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Listening to complaints and assessing any indications of coercion or verbal or physical abuse.</w:t>
      </w:r>
    </w:p>
    <w:p w14:paraId="25CDCF4A" w14:textId="710BD89A" w:rsidR="00232F0F" w:rsidRPr="00863B82" w:rsidRDefault="00232F0F" w:rsidP="00152DA5">
      <w:pPr>
        <w:pStyle w:val="NormalWeb"/>
        <w:numPr>
          <w:ilvl w:val="0"/>
          <w:numId w:val="75"/>
        </w:numPr>
        <w:spacing w:before="0" w:before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Reviewing medical decisions to ensure that a patient’s stay in the hospital is based on therapeutic necessity and not used as a punitive measure.</w:t>
      </w:r>
    </w:p>
    <w:p w14:paraId="36D655EF"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Second: Verifying medical and treatment procedures, through:</w:t>
      </w:r>
    </w:p>
    <w:p w14:paraId="39491B67" w14:textId="77777777" w:rsidR="00152DA5" w:rsidRPr="00863B82" w:rsidRDefault="00232F0F" w:rsidP="00152DA5">
      <w:pPr>
        <w:pStyle w:val="NormalWeb"/>
        <w:numPr>
          <w:ilvl w:val="0"/>
          <w:numId w:val="76"/>
        </w:numPr>
        <w:spacing w:before="0" w:beforeAutospacing="0"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Confirming the availability and accuracy of psychiatric assessment records.</w:t>
      </w:r>
    </w:p>
    <w:p w14:paraId="6C91FEFE" w14:textId="77777777" w:rsidR="00152DA5" w:rsidRPr="00863B82" w:rsidRDefault="00232F0F" w:rsidP="00152DA5">
      <w:pPr>
        <w:pStyle w:val="NormalWeb"/>
        <w:numPr>
          <w:ilvl w:val="0"/>
          <w:numId w:val="76"/>
        </w:numPr>
        <w:spacing w:before="0" w:beforeAutospacing="0"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Evaluating the availability of specialized medical staff.</w:t>
      </w:r>
    </w:p>
    <w:p w14:paraId="69A91D2A" w14:textId="77777777" w:rsidR="00152DA5" w:rsidRPr="00863B82" w:rsidRDefault="00232F0F" w:rsidP="00152DA5">
      <w:pPr>
        <w:pStyle w:val="NormalWeb"/>
        <w:numPr>
          <w:ilvl w:val="0"/>
          <w:numId w:val="76"/>
        </w:numPr>
        <w:spacing w:before="0" w:beforeAutospacing="0"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Reviewing the patient’s medication and psychological treatment plan.</w:t>
      </w:r>
    </w:p>
    <w:p w14:paraId="63961B41" w14:textId="17105C14" w:rsidR="00232F0F" w:rsidRPr="00863B82" w:rsidRDefault="00232F0F" w:rsidP="00152DA5">
      <w:pPr>
        <w:pStyle w:val="NormalWeb"/>
        <w:numPr>
          <w:ilvl w:val="0"/>
          <w:numId w:val="76"/>
        </w:numPr>
        <w:spacing w:before="0" w:beforeAutospacing="0"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Examining the mechanism for referring inmates from correctional centers.</w:t>
      </w:r>
    </w:p>
    <w:p w14:paraId="05C2CE05"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Third: Assessing the hospital environment by examining:</w:t>
      </w:r>
    </w:p>
    <w:p w14:paraId="17D7B8A6" w14:textId="77777777" w:rsidR="00152DA5" w:rsidRPr="00863B82" w:rsidRDefault="00232F0F" w:rsidP="00152DA5">
      <w:pPr>
        <w:pStyle w:val="NormalWeb"/>
        <w:numPr>
          <w:ilvl w:val="0"/>
          <w:numId w:val="77"/>
        </w:numPr>
        <w:spacing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Cleanliness of rooms.</w:t>
      </w:r>
    </w:p>
    <w:p w14:paraId="75FBC1BA" w14:textId="77777777" w:rsidR="00152DA5" w:rsidRPr="00863B82" w:rsidRDefault="00232F0F" w:rsidP="00152DA5">
      <w:pPr>
        <w:pStyle w:val="NormalWeb"/>
        <w:numPr>
          <w:ilvl w:val="0"/>
          <w:numId w:val="77"/>
        </w:numPr>
        <w:spacing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Ventilation and lighting.</w:t>
      </w:r>
    </w:p>
    <w:p w14:paraId="6B1F789F" w14:textId="77777777" w:rsidR="00152DA5" w:rsidRPr="00863B82" w:rsidRDefault="00232F0F" w:rsidP="00152DA5">
      <w:pPr>
        <w:pStyle w:val="NormalWeb"/>
        <w:numPr>
          <w:ilvl w:val="0"/>
          <w:numId w:val="77"/>
        </w:numPr>
        <w:spacing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lastRenderedPageBreak/>
        <w:t>Availability of activity and movement areas.</w:t>
      </w:r>
    </w:p>
    <w:p w14:paraId="10A0707F" w14:textId="1781D6F0" w:rsidR="00232F0F" w:rsidRPr="00863B82" w:rsidRDefault="00232F0F" w:rsidP="00152DA5">
      <w:pPr>
        <w:pStyle w:val="NormalWeb"/>
        <w:numPr>
          <w:ilvl w:val="0"/>
          <w:numId w:val="77"/>
        </w:numPr>
        <w:spacing w:after="0" w:afterAutospacing="0"/>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Standards ensuring patient privacy.</w:t>
      </w:r>
    </w:p>
    <w:p w14:paraId="38D3F3C1"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Fourth: Ensuring respect for patients’ human rights, such as:</w:t>
      </w:r>
    </w:p>
    <w:p w14:paraId="5AD79C3C" w14:textId="77777777" w:rsidR="00152DA5" w:rsidRPr="00863B82" w:rsidRDefault="00232F0F" w:rsidP="00152DA5">
      <w:pPr>
        <w:pStyle w:val="NormalWeb"/>
        <w:numPr>
          <w:ilvl w:val="0"/>
          <w:numId w:val="78"/>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right to contact family members or a lawyer, for those who are convicted.</w:t>
      </w:r>
    </w:p>
    <w:p w14:paraId="04BE0220" w14:textId="77777777" w:rsidR="00152DA5" w:rsidRPr="00863B82" w:rsidRDefault="00232F0F" w:rsidP="00152DA5">
      <w:pPr>
        <w:pStyle w:val="NormalWeb"/>
        <w:numPr>
          <w:ilvl w:val="0"/>
          <w:numId w:val="78"/>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right to move within the ward according to the patient’s medical condition.</w:t>
      </w:r>
    </w:p>
    <w:p w14:paraId="12A49FC0" w14:textId="77777777" w:rsidR="00152DA5" w:rsidRPr="00863B82" w:rsidRDefault="00232F0F" w:rsidP="00152DA5">
      <w:pPr>
        <w:pStyle w:val="NormalWeb"/>
        <w:numPr>
          <w:ilvl w:val="0"/>
          <w:numId w:val="78"/>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Protection of medical and health information.</w:t>
      </w:r>
    </w:p>
    <w:p w14:paraId="7608707B" w14:textId="2856526B" w:rsidR="00232F0F" w:rsidRPr="00863B82" w:rsidRDefault="00232F0F" w:rsidP="00152DA5">
      <w:pPr>
        <w:pStyle w:val="NormalWeb"/>
        <w:numPr>
          <w:ilvl w:val="0"/>
          <w:numId w:val="78"/>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Ensuring that patients are not placed with criminal inmates except based on a strict medical assessment.</w:t>
      </w:r>
    </w:p>
    <w:p w14:paraId="3CD00F4D"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findings of the visits conducted by both the Prisoners and Detainees Rights Commission and the National Institution for Human Rights indicate the following:</w:t>
      </w:r>
    </w:p>
    <w:p w14:paraId="14E7D71D" w14:textId="77777777" w:rsidR="00232F0F" w:rsidRPr="00863B82" w:rsidRDefault="00232F0F" w:rsidP="0085624E">
      <w:pPr>
        <w:pStyle w:val="NormalWeb"/>
        <w:numPr>
          <w:ilvl w:val="0"/>
          <w:numId w:val="72"/>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There are no indicators of torture or cruel treatment inside the hospital:</w:t>
      </w:r>
      <w:r w:rsidRPr="00863B82">
        <w:rPr>
          <w:rFonts w:ascii="Sakkal Majalla" w:hAnsi="Sakkal Majalla" w:cs="Sakkal Majalla"/>
          <w:color w:val="000000"/>
          <w:sz w:val="32"/>
          <w:szCs w:val="32"/>
        </w:rPr>
        <w:br/>
        <w:t>None of the official statements issued by oversight bodies reported cases of torture, while recommendations generally focused on improving services rather than addressing serious violations.</w:t>
      </w:r>
    </w:p>
    <w:p w14:paraId="1D343AB8" w14:textId="77777777" w:rsidR="00232F0F" w:rsidRPr="00863B82" w:rsidRDefault="00232F0F" w:rsidP="0085624E">
      <w:pPr>
        <w:pStyle w:val="NormalWeb"/>
        <w:numPr>
          <w:ilvl w:val="0"/>
          <w:numId w:val="72"/>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There are several observations related to the quality of services or facilities</w:t>
      </w:r>
      <w:r w:rsidRPr="00863B82">
        <w:rPr>
          <w:rFonts w:ascii="Sakkal Majalla" w:hAnsi="Sakkal Majalla" w:cs="Sakkal Majalla"/>
          <w:color w:val="000000"/>
          <w:sz w:val="32"/>
          <w:szCs w:val="32"/>
        </w:rPr>
        <w:t>, such as: improving the internal environment, strengthening healthcare resources, and monitoring certain cases requiring greater psychological support.</w:t>
      </w:r>
    </w:p>
    <w:p w14:paraId="77BD6DBF" w14:textId="77777777" w:rsidR="00232F0F" w:rsidRPr="00863B82" w:rsidRDefault="00232F0F" w:rsidP="0085624E">
      <w:pPr>
        <w:pStyle w:val="NormalWeb"/>
        <w:numPr>
          <w:ilvl w:val="0"/>
          <w:numId w:val="72"/>
        </w:numPr>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b w:val="0"/>
          <w:bCs w:val="0"/>
          <w:color w:val="000000"/>
          <w:sz w:val="32"/>
          <w:szCs w:val="32"/>
        </w:rPr>
        <w:t>There is clear commitment to ensuring medical—not security—supervision:</w:t>
      </w:r>
      <w:r w:rsidRPr="00863B82">
        <w:rPr>
          <w:rFonts w:ascii="Sakkal Majalla" w:hAnsi="Sakkal Majalla" w:cs="Sakkal Majalla"/>
          <w:color w:val="000000"/>
          <w:sz w:val="32"/>
          <w:szCs w:val="32"/>
        </w:rPr>
        <w:br/>
        <w:t>Several official sessions emphasized that medical decisions must be made exclusively by physicians.</w:t>
      </w:r>
    </w:p>
    <w:p w14:paraId="39282E79"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In summary, the Psychiatric Hospital in Bahrain has undergone a series of independent visits by the Prisoners and Detainees Rights Commission and the National Institution for Human Rights in recent years. These visits focused on ensuring humane treatment, verifying the quality of healthcare, and</w:t>
      </w:r>
      <w:proofErr w:type="gramStart"/>
      <w:r w:rsidRPr="00863B82">
        <w:rPr>
          <w:rFonts w:ascii="Sakkal Majalla" w:hAnsi="Sakkal Majalla" w:cs="Sakkal Majalla"/>
          <w:color w:val="000000"/>
          <w:sz w:val="32"/>
          <w:szCs w:val="32"/>
        </w:rPr>
        <w:t>, in particular, ensuring</w:t>
      </w:r>
      <w:proofErr w:type="gramEnd"/>
      <w:r w:rsidRPr="00863B82">
        <w:rPr>
          <w:rFonts w:ascii="Sakkal Majalla" w:hAnsi="Sakkal Majalla" w:cs="Sakkal Majalla"/>
          <w:color w:val="000000"/>
          <w:sz w:val="32"/>
          <w:szCs w:val="32"/>
        </w:rPr>
        <w:t xml:space="preserve"> that patients—especially those convicted or transferred from detention centers—are not subjected to any form of torture or ill-treatment.</w:t>
      </w:r>
    </w:p>
    <w:p w14:paraId="558BBBFC"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lastRenderedPageBreak/>
        <w:t>The continuation of such visits serves as an important safeguard against violations and reflects a formal commitment to international human rights standards, especially in sensitive facilities that combine treatment with deprivation of liberty.</w:t>
      </w:r>
    </w:p>
    <w:p w14:paraId="6CB79F31"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In a notable qualitative development, the Psychiatric Hospital was placed under the umbrella of government hospitals, which ensured that it was subjected to inspection by the National Health Regulatory Authority—an independent regulatory body. After meeting licensing standards and requirements, the hospital was granted an official license. Government hospitals also ensured that the facility underwent national accreditation, where it underwent a comprehensive evaluation and subsequently obtained the</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platinum accreditation level</w:t>
      </w:r>
      <w:r w:rsidRPr="00863B82">
        <w:rPr>
          <w:rFonts w:ascii="Sakkal Majalla" w:hAnsi="Sakkal Majalla" w:cs="Sakkal Majalla"/>
          <w:color w:val="000000"/>
          <w:sz w:val="32"/>
          <w:szCs w:val="32"/>
        </w:rPr>
        <w:t>.</w:t>
      </w:r>
    </w:p>
    <w:p w14:paraId="5B63032D"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hospital’s psychiatrists hold</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residency-level board qualifications</w:t>
      </w:r>
      <w:r w:rsidRPr="00863B82">
        <w:rPr>
          <w:rFonts w:ascii="Sakkal Majalla" w:hAnsi="Sakkal Majalla" w:cs="Sakkal Majalla"/>
          <w:color w:val="000000"/>
          <w:sz w:val="32"/>
          <w:szCs w:val="32"/>
        </w:rPr>
        <w:t>, and many have obtained subspecialty certifications from abroad, such as child psychiatry and forensic psychiatry. Administratively, they fall under the Civil Service Bureau, meaning their grades and salaries are equivalent to those of other professional specialties.</w:t>
      </w:r>
    </w:p>
    <w:p w14:paraId="6910D908" w14:textId="3C09DA85" w:rsidR="008B206C" w:rsidRPr="00863B82" w:rsidRDefault="008B206C"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bdr w:val="single" w:sz="4" w:space="0" w:color="000000" w:themeColor="text1"/>
          <w:shd w:val="clear" w:color="auto" w:fill="D9D9D9" w:themeFill="background1" w:themeFillShade="D9"/>
        </w:rPr>
        <w:t>Topic</w:t>
      </w:r>
      <w:r w:rsidR="00232F0F" w:rsidRPr="00863B82">
        <w:rPr>
          <w:rStyle w:val="Strong"/>
          <w:rFonts w:ascii="Sakkal Majalla" w:eastAsiaTheme="majorEastAsia" w:hAnsi="Sakkal Majalla" w:cs="Sakkal Majalla"/>
          <w:color w:val="000000"/>
          <w:sz w:val="32"/>
          <w:szCs w:val="32"/>
          <w:bdr w:val="single" w:sz="4" w:space="0" w:color="000000" w:themeColor="text1"/>
          <w:shd w:val="clear" w:color="auto" w:fill="D9D9D9" w:themeFill="background1" w:themeFillShade="D9"/>
        </w:rPr>
        <w:t xml:space="preserve"> </w:t>
      </w:r>
      <w:r w:rsidR="00152DA5" w:rsidRPr="00863B82">
        <w:rPr>
          <w:rStyle w:val="Strong"/>
          <w:rFonts w:ascii="Sakkal Majalla" w:eastAsiaTheme="majorEastAsia" w:hAnsi="Sakkal Majalla" w:cs="Sakkal Majalla"/>
          <w:color w:val="000000"/>
          <w:sz w:val="32"/>
          <w:szCs w:val="32"/>
          <w:bdr w:val="single" w:sz="4" w:space="0" w:color="000000" w:themeColor="text1"/>
          <w:shd w:val="clear" w:color="auto" w:fill="D9D9D9" w:themeFill="background1" w:themeFillShade="D9"/>
        </w:rPr>
        <w:t>28</w:t>
      </w:r>
      <w:r w:rsidR="00232F0F" w:rsidRPr="00863B82">
        <w:rPr>
          <w:rStyle w:val="Strong"/>
          <w:rFonts w:ascii="Sakkal Majalla" w:eastAsiaTheme="majorEastAsia" w:hAnsi="Sakkal Majalla" w:cs="Sakkal Majalla"/>
          <w:color w:val="000000"/>
          <w:sz w:val="32"/>
          <w:szCs w:val="32"/>
          <w:bdr w:val="single" w:sz="4" w:space="0" w:color="000000" w:themeColor="text1"/>
          <w:shd w:val="clear" w:color="auto" w:fill="D9D9D9" w:themeFill="background1" w:themeFillShade="D9"/>
        </w:rPr>
        <w:t>: The National Human Rights Plan 2022–2026</w:t>
      </w:r>
      <w:r w:rsidR="00232F0F" w:rsidRPr="00863B82">
        <w:rPr>
          <w:rFonts w:ascii="Sakkal Majalla" w:hAnsi="Sakkal Majalla" w:cs="Sakkal Majalla"/>
          <w:color w:val="000000"/>
          <w:sz w:val="32"/>
          <w:szCs w:val="32"/>
        </w:rPr>
        <w:br/>
      </w:r>
    </w:p>
    <w:p w14:paraId="007DB03D" w14:textId="5224CE72"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Affirming the Kingdom of Bahrain’s firm commitment to the protection and promotion of human rights, the National Human Rights Plan (2022–2026) was adopted following nine consultative sessions in which more than 1,700 participants took part, representing various government entities, United Nations bodies, civil society organizations, and both local and international experts.</w:t>
      </w:r>
    </w:p>
    <w:p w14:paraId="30D3D813"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These sessions addressed several important topics, including:</w:t>
      </w:r>
    </w:p>
    <w:p w14:paraId="70DED44C" w14:textId="051FD24F"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the role of the legislative authority in the protection and promotion of human rights and in preparing the National Human Rights Action Plan; the role of the media and press in the National Human Rights Action Plan; the rule of law and safeguarding rights within the administration of the justice system; the role of national institutions and civil society organizations in the </w:t>
      </w:r>
      <w:r w:rsidRPr="00863B82">
        <w:rPr>
          <w:rFonts w:ascii="Sakkal Majalla" w:hAnsi="Sakkal Majalla" w:cs="Sakkal Majalla"/>
          <w:color w:val="000000"/>
          <w:sz w:val="32"/>
          <w:szCs w:val="32"/>
        </w:rPr>
        <w:lastRenderedPageBreak/>
        <w:t>promotion and advancement of human rights; human rights diplomacy in strengthening and developing human rights; labor rights within the human rights framework; education, knowledge, and human rights; the rights of priority groups under the National Human Rights Plan; and women’s rights and the achievement of family and social stability in the Kingdom of Bahrain. These discussions produced numerous recommendations that were subsequently translated into practical, implementable projects.</w:t>
      </w:r>
    </w:p>
    <w:p w14:paraId="2F835408"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National Human Rights Plan is structured around four main pillars:</w:t>
      </w:r>
    </w:p>
    <w:p w14:paraId="5C3B95FD" w14:textId="77777777" w:rsidR="00232F0F" w:rsidRPr="00863B82" w:rsidRDefault="00232F0F" w:rsidP="0085624E">
      <w:pPr>
        <w:pStyle w:val="NormalWeb"/>
        <w:numPr>
          <w:ilvl w:val="0"/>
          <w:numId w:val="73"/>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Civil and political rights</w:t>
      </w:r>
    </w:p>
    <w:p w14:paraId="74F5F801" w14:textId="77777777" w:rsidR="00232F0F" w:rsidRPr="00863B82" w:rsidRDefault="00232F0F" w:rsidP="0085624E">
      <w:pPr>
        <w:pStyle w:val="NormalWeb"/>
        <w:numPr>
          <w:ilvl w:val="0"/>
          <w:numId w:val="73"/>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Economic, social, and cultural rights</w:t>
      </w:r>
    </w:p>
    <w:p w14:paraId="1B382A30" w14:textId="77777777" w:rsidR="00232F0F" w:rsidRPr="00863B82" w:rsidRDefault="00232F0F" w:rsidP="0085624E">
      <w:pPr>
        <w:pStyle w:val="NormalWeb"/>
        <w:numPr>
          <w:ilvl w:val="0"/>
          <w:numId w:val="73"/>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Rights of priority groups</w:t>
      </w:r>
    </w:p>
    <w:p w14:paraId="54B73599" w14:textId="77777777" w:rsidR="00232F0F" w:rsidRPr="00863B82" w:rsidRDefault="00232F0F" w:rsidP="0085624E">
      <w:pPr>
        <w:pStyle w:val="NormalWeb"/>
        <w:numPr>
          <w:ilvl w:val="0"/>
          <w:numId w:val="73"/>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Solidarity rights</w:t>
      </w:r>
    </w:p>
    <w:p w14:paraId="13901756"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Under these </w:t>
      </w:r>
      <w:proofErr w:type="gramStart"/>
      <w:r w:rsidRPr="00863B82">
        <w:rPr>
          <w:rFonts w:ascii="Sakkal Majalla" w:hAnsi="Sakkal Majalla" w:cs="Sakkal Majalla"/>
          <w:color w:val="000000"/>
          <w:sz w:val="32"/>
          <w:szCs w:val="32"/>
        </w:rPr>
        <w:t>pillars</w:t>
      </w:r>
      <w:proofErr w:type="gramEnd"/>
      <w:r w:rsidRPr="00863B82">
        <w:rPr>
          <w:rFonts w:ascii="Sakkal Majalla" w:hAnsi="Sakkal Majalla" w:cs="Sakkal Majalla"/>
          <w:color w:val="000000"/>
          <w:sz w:val="32"/>
          <w:szCs w:val="32"/>
        </w:rPr>
        <w:t xml:space="preserve"> fall</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17 main objectives</w:t>
      </w:r>
      <w:r w:rsidRPr="00863B82">
        <w:rPr>
          <w:rFonts w:ascii="Sakkal Majalla" w:hAnsi="Sakkal Majalla" w:cs="Sakkal Majalla"/>
          <w:color w:val="000000"/>
          <w:sz w:val="32"/>
          <w:szCs w:val="32"/>
        </w:rPr>
        <w:t>,</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34 sub-objectives</w:t>
      </w:r>
      <w:r w:rsidRPr="00863B82">
        <w:rPr>
          <w:rFonts w:ascii="Sakkal Majalla" w:hAnsi="Sakkal Majalla" w:cs="Sakkal Majalla"/>
          <w:color w:val="000000"/>
          <w:sz w:val="32"/>
          <w:szCs w:val="32"/>
        </w:rPr>
        <w:t>, and</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102 projects</w:t>
      </w:r>
      <w:r w:rsidRPr="00863B82">
        <w:rPr>
          <w:rFonts w:ascii="Sakkal Majalla" w:hAnsi="Sakkal Majalla" w:cs="Sakkal Majalla"/>
          <w:color w:val="000000"/>
          <w:sz w:val="32"/>
          <w:szCs w:val="32"/>
        </w:rPr>
        <w:t>, which collectively form the Plan’s executive framework. The projects fall into three primary categories: legislative initiatives, capacity building, and institutional development. As of the end of 2024,</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64 projects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had been completed, and the tally of completed projects for the current year is underway.</w:t>
      </w:r>
    </w:p>
    <w:p w14:paraId="19DBEF2C"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As for the types of projects included in the Plan, they encompassed training and awareness programs in the field of human rights, and the review of </w:t>
      </w:r>
      <w:proofErr w:type="gramStart"/>
      <w:r w:rsidRPr="00863B82">
        <w:rPr>
          <w:rFonts w:ascii="Sakkal Majalla" w:hAnsi="Sakkal Majalla" w:cs="Sakkal Majalla"/>
          <w:color w:val="000000"/>
          <w:sz w:val="32"/>
          <w:szCs w:val="32"/>
        </w:rPr>
        <w:t>a number of</w:t>
      </w:r>
      <w:proofErr w:type="gramEnd"/>
      <w:r w:rsidRPr="00863B82">
        <w:rPr>
          <w:rFonts w:ascii="Sakkal Majalla" w:hAnsi="Sakkal Majalla" w:cs="Sakkal Majalla"/>
          <w:color w:val="000000"/>
          <w:sz w:val="32"/>
          <w:szCs w:val="32"/>
        </w:rPr>
        <w:t xml:space="preserve"> laws such as those related to the rights of </w:t>
      </w:r>
      <w:proofErr w:type="gramStart"/>
      <w:r w:rsidRPr="00863B82">
        <w:rPr>
          <w:rFonts w:ascii="Sakkal Majalla" w:hAnsi="Sakkal Majalla" w:cs="Sakkal Majalla"/>
          <w:color w:val="000000"/>
          <w:sz w:val="32"/>
          <w:szCs w:val="32"/>
        </w:rPr>
        <w:t>persons</w:t>
      </w:r>
      <w:proofErr w:type="gramEnd"/>
      <w:r w:rsidRPr="00863B82">
        <w:rPr>
          <w:rFonts w:ascii="Sakkal Majalla" w:hAnsi="Sakkal Majalla" w:cs="Sakkal Majalla"/>
          <w:color w:val="000000"/>
          <w:sz w:val="32"/>
          <w:szCs w:val="32"/>
        </w:rPr>
        <w:t xml:space="preserve"> with disabilities and civil society organizations, among others. The Plan also emphasized raising human rights awareness among various segments of society, and its implementation was carried out in cooperation with all government agencies, civil society organizations, and relevant stakeholders.</w:t>
      </w:r>
    </w:p>
    <w:p w14:paraId="4B57F1EF" w14:textId="6278BB55" w:rsidR="00232F0F" w:rsidRPr="003C3116" w:rsidRDefault="00232F0F" w:rsidP="003C3116">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Within the framework of the Convention, the Plan included several capacity-building projects in the fields of law enforcement and restorative justice. One of the most notable was the</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National Capacity-Building Project on Law Enforcement, Rule of Law, and Restorative Justice</w:t>
      </w:r>
      <w:r w:rsidRPr="00863B82">
        <w:rPr>
          <w:rFonts w:ascii="Sakkal Majalla" w:hAnsi="Sakkal Majalla" w:cs="Sakkal Majalla"/>
          <w:color w:val="000000"/>
          <w:sz w:val="32"/>
          <w:szCs w:val="32"/>
        </w:rPr>
        <w:t>, implemented by the Royal Police Academy, from which</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673 participants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benefited.</w:t>
      </w:r>
    </w:p>
    <w:p w14:paraId="1CE8476F" w14:textId="77777777" w:rsidR="00152DA5"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lastRenderedPageBreak/>
        <w:t>Summary and Conclusion:</w:t>
      </w:r>
    </w:p>
    <w:p w14:paraId="07E9350B" w14:textId="41315720"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Kingdom of Bahrain highlights the significant progress achieved in recent years in protecting rights and strengthening national safeguards for the prevention of torture, as well as reinforcing the principles of justice, transparency, and accountability, and advancing restorative justice as a sustainable approach. This progress is reflected in a series of legislative, institutional, and practical steps that have constituted a qualitative shift in the human rights framework, including:</w:t>
      </w:r>
    </w:p>
    <w:p w14:paraId="77605237" w14:textId="77777777" w:rsidR="00152DA5" w:rsidRPr="00863B82" w:rsidRDefault="00232F0F" w:rsidP="00152DA5">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First: Strengthening the prevention of torture and ensuring effective accountability, and consolidating mechanisms for preventing torture through the development of the legal and institutional structure, whereby:</w:t>
      </w:r>
    </w:p>
    <w:p w14:paraId="2B0C8024" w14:textId="77777777" w:rsidR="00152DA5" w:rsidRPr="00863B82" w:rsidRDefault="00232F0F" w:rsidP="00152DA5">
      <w:pPr>
        <w:pStyle w:val="NormalWeb"/>
        <w:numPr>
          <w:ilvl w:val="0"/>
          <w:numId w:val="79"/>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role of the Special Investigation Unit has expanded in conducting criminal investigations related to allegations of torture and ill-treatment, based on standards of professional independence and its exclusive mandate over criminal investigation.</w:t>
      </w:r>
    </w:p>
    <w:p w14:paraId="63B88488" w14:textId="77777777" w:rsidR="00152DA5" w:rsidRPr="00863B82" w:rsidRDefault="00232F0F" w:rsidP="00152DA5">
      <w:pPr>
        <w:pStyle w:val="NormalWeb"/>
        <w:numPr>
          <w:ilvl w:val="0"/>
          <w:numId w:val="79"/>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Ombudsman’s Office has reinforced its work as an independent mechanism for receiving complaints and conducting administrative investigations, with the authority to refer matters directly to the Special Investigation Unit.</w:t>
      </w:r>
    </w:p>
    <w:p w14:paraId="1758843E" w14:textId="77777777" w:rsidR="00152DA5" w:rsidRPr="00863B82" w:rsidRDefault="00232F0F" w:rsidP="00152DA5">
      <w:pPr>
        <w:pStyle w:val="NormalWeb"/>
        <w:numPr>
          <w:ilvl w:val="0"/>
          <w:numId w:val="79"/>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Prisoners and Detainees Rights Commission has contributed to enhancing preventive oversight through dozens of announced and unannounced visits, including visits to psychiatric hospitals and juvenile detention facilities.</w:t>
      </w:r>
    </w:p>
    <w:p w14:paraId="0EB63E08" w14:textId="705210B9" w:rsidR="00232F0F" w:rsidRPr="00863B82" w:rsidRDefault="00232F0F" w:rsidP="00152DA5">
      <w:pPr>
        <w:pStyle w:val="NormalWeb"/>
        <w:numPr>
          <w:ilvl w:val="0"/>
          <w:numId w:val="79"/>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 xml:space="preserve">The National Institution for Human Rights has increased the number of </w:t>
      </w:r>
      <w:proofErr w:type="gramStart"/>
      <w:r w:rsidRPr="00863B82">
        <w:rPr>
          <w:rFonts w:ascii="Sakkal Majalla" w:hAnsi="Sakkal Majalla" w:cs="Sakkal Majalla"/>
          <w:color w:val="000000"/>
          <w:sz w:val="32"/>
          <w:szCs w:val="32"/>
        </w:rPr>
        <w:t>its field</w:t>
      </w:r>
      <w:proofErr w:type="gramEnd"/>
      <w:r w:rsidRPr="00863B82">
        <w:rPr>
          <w:rFonts w:ascii="Sakkal Majalla" w:hAnsi="Sakkal Majalla" w:cs="Sakkal Majalla"/>
          <w:color w:val="000000"/>
          <w:sz w:val="32"/>
          <w:szCs w:val="32"/>
        </w:rPr>
        <w:t xml:space="preserve"> visits, documented their outcomes, and issued public annual reports.</w:t>
      </w:r>
    </w:p>
    <w:p w14:paraId="007681AA"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National indicators confirm that the role of these mechanisms has formed a genuine safeguard against impunity, and that any allegation of torture is automatically subjected to an independent criminal investigation.</w:t>
      </w:r>
    </w:p>
    <w:p w14:paraId="5D59188B"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lastRenderedPageBreak/>
        <w:t>Second: Developing the detention environment and improving healthcare and living conditions:</w:t>
      </w:r>
      <w:r w:rsidRPr="00863B82">
        <w:rPr>
          <w:rFonts w:ascii="Sakkal Majalla" w:hAnsi="Sakkal Majalla" w:cs="Sakkal Majalla"/>
          <w:color w:val="000000"/>
          <w:sz w:val="32"/>
          <w:szCs w:val="32"/>
        </w:rPr>
        <w:br/>
        <w:t>Correction and rehabilitation centers have witnessed significant progress through:</w:t>
      </w:r>
    </w:p>
    <w:p w14:paraId="03AE73BE" w14:textId="77777777" w:rsidR="00152DA5" w:rsidRPr="00863B82" w:rsidRDefault="00232F0F" w:rsidP="00152DA5">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construction of new, modern buildings adhering to advanced engineering and humanitarian standards.</w:t>
      </w:r>
    </w:p>
    <w:p w14:paraId="16BC033D" w14:textId="77777777" w:rsidR="00152DA5" w:rsidRPr="00863B82" w:rsidRDefault="00232F0F" w:rsidP="00152DA5">
      <w:pPr>
        <w:pStyle w:val="NormalWeb"/>
        <w:numPr>
          <w:ilvl w:val="0"/>
          <w:numId w:val="80"/>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Addressing the challenge of overcrowding through systematic solutions, including alternative sentencing, royal pardons, new facilities, and open-prison programs.</w:t>
      </w:r>
    </w:p>
    <w:p w14:paraId="7BD0C940" w14:textId="77777777" w:rsidR="00152DA5" w:rsidRPr="00863B82" w:rsidRDefault="00232F0F" w:rsidP="00152DA5">
      <w:pPr>
        <w:pStyle w:val="NormalWeb"/>
        <w:numPr>
          <w:ilvl w:val="0"/>
          <w:numId w:val="80"/>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Transferring healthcare supervision within correctional centers to government hospitals, ensuring the independence, neutrality, and quality of medical services.</w:t>
      </w:r>
    </w:p>
    <w:p w14:paraId="034B3667" w14:textId="77777777" w:rsidR="00152DA5" w:rsidRPr="00863B82" w:rsidRDefault="00232F0F" w:rsidP="00152DA5">
      <w:pPr>
        <w:pStyle w:val="NormalWeb"/>
        <w:numPr>
          <w:ilvl w:val="0"/>
          <w:numId w:val="80"/>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Enhancing psychological care, addiction treatment, early screening, and the provision of specialized clinic services.</w:t>
      </w:r>
    </w:p>
    <w:p w14:paraId="59FE58C7" w14:textId="7BEE62A4" w:rsidR="00232F0F" w:rsidRPr="00863B82" w:rsidRDefault="00232F0F" w:rsidP="00152DA5">
      <w:pPr>
        <w:pStyle w:val="NormalWeb"/>
        <w:numPr>
          <w:ilvl w:val="0"/>
          <w:numId w:val="80"/>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Improving living conditions, expanding recreational and sports activities, ensuring family communication, and developing internal complaint mechanisms.</w:t>
      </w:r>
    </w:p>
    <w:p w14:paraId="0DA0BCF0"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National and international oversight data confirm that there are</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no indicators of systematic torture</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in detention centers, alongside the continued development of services and the strengthening of humanitarian safeguards.</w:t>
      </w:r>
    </w:p>
    <w:p w14:paraId="6A7CF337"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Third: Consolidating restorative justice and expanding alternatives to imprisonment:</w:t>
      </w:r>
      <w:r w:rsidRPr="00863B82">
        <w:rPr>
          <w:rFonts w:ascii="Sakkal Majalla" w:hAnsi="Sakkal Majalla" w:cs="Sakkal Majalla"/>
          <w:color w:val="000000"/>
          <w:sz w:val="32"/>
          <w:szCs w:val="32"/>
        </w:rPr>
        <w:br/>
        <w:t>The shift toward restorative justice represents one of the most significant developments in Bahrain, and includes:</w:t>
      </w:r>
    </w:p>
    <w:p w14:paraId="346938DE" w14:textId="77777777" w:rsidR="00152DA5" w:rsidRPr="00863B82" w:rsidRDefault="00232F0F" w:rsidP="00152DA5">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More than</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9,500 individuals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have benefited from alternative sentences since the law’s implementation, with very low recidivism rates.</w:t>
      </w:r>
    </w:p>
    <w:p w14:paraId="3E3CB361" w14:textId="39B373AB" w:rsidR="00232F0F" w:rsidRPr="00863B82" w:rsidRDefault="00232F0F" w:rsidP="00152DA5">
      <w:pPr>
        <w:pStyle w:val="NormalWeb"/>
        <w:numPr>
          <w:ilvl w:val="0"/>
          <w:numId w:val="81"/>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success of the</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Open Prisons Program</w:t>
      </w:r>
      <w:r w:rsidRPr="00863B82">
        <w:rPr>
          <w:rFonts w:ascii="Sakkal Majalla" w:hAnsi="Sakkal Majalla" w:cs="Sakkal Majalla"/>
          <w:color w:val="000000"/>
          <w:sz w:val="32"/>
          <w:szCs w:val="32"/>
        </w:rPr>
        <w:t>, which has achieved international accreditation from the American Correctional Association (ACA) as an innovative program at the regional level.</w:t>
      </w:r>
    </w:p>
    <w:p w14:paraId="39BA7398" w14:textId="71437FD4" w:rsidR="00232F0F" w:rsidRPr="00863B82" w:rsidRDefault="00232F0F" w:rsidP="00152DA5">
      <w:pPr>
        <w:pStyle w:val="NormalWeb"/>
        <w:numPr>
          <w:ilvl w:val="0"/>
          <w:numId w:val="81"/>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lastRenderedPageBreak/>
        <w:t>The integration of educational, rehabilitative, and vocational programs inside and outside correctional centers, enabling inmates to pursue university education, vocational training, and post-release reintegration programs.</w:t>
      </w:r>
    </w:p>
    <w:p w14:paraId="40F16283" w14:textId="214A75AF" w:rsidR="00232F0F" w:rsidRPr="00863B82" w:rsidRDefault="00232F0F" w:rsidP="00152DA5">
      <w:pPr>
        <w:pStyle w:val="NormalWeb"/>
        <w:numPr>
          <w:ilvl w:val="0"/>
          <w:numId w:val="81"/>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 introduction of new therapeutic measures in the recent amendments to the Alternative Sentencing Law, including placement in psychiatric treatment facilities and behavioral therapy programs.</w:t>
      </w:r>
    </w:p>
    <w:p w14:paraId="075D22B2" w14:textId="77777777"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These measures reflect a genuine shift toward rehabilitation rather than reliance solely on traditional detention, making punishment a tool for reform rather than a form of purely punitive action.</w:t>
      </w:r>
    </w:p>
    <w:p w14:paraId="365155AF" w14:textId="77777777" w:rsidR="00B933AD" w:rsidRPr="00863B82" w:rsidRDefault="00232F0F" w:rsidP="00B933AD">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Fourth: Transparency and national and international oversight:</w:t>
      </w:r>
      <w:r w:rsidRPr="00863B82">
        <w:rPr>
          <w:rFonts w:ascii="Sakkal Majalla" w:hAnsi="Sakkal Majalla" w:cs="Sakkal Majalla"/>
          <w:color w:val="000000"/>
          <w:sz w:val="32"/>
          <w:szCs w:val="32"/>
        </w:rPr>
        <w:br/>
        <w:t>In this context, the Kingdom reaffirms its commitment to openness and oversight through:</w:t>
      </w:r>
    </w:p>
    <w:p w14:paraId="387DCCE4" w14:textId="2BD21A8D" w:rsidR="00232F0F" w:rsidRPr="00863B82" w:rsidRDefault="00232F0F" w:rsidP="00B933AD">
      <w:pPr>
        <w:pStyle w:val="NormalWeb"/>
        <w:numPr>
          <w:ilvl w:val="0"/>
          <w:numId w:val="82"/>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Conducting more than</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400 monitoring visits</w:t>
      </w:r>
      <w:r w:rsidRPr="00863B82">
        <w:rPr>
          <w:rStyle w:val="apple-converted-space"/>
          <w:rFonts w:ascii="Sakkal Majalla" w:eastAsiaTheme="majorEastAsia" w:hAnsi="Sakkal Majalla" w:cs="Sakkal Majalla"/>
          <w:color w:val="000000"/>
          <w:sz w:val="32"/>
          <w:szCs w:val="32"/>
        </w:rPr>
        <w:t> </w:t>
      </w:r>
      <w:r w:rsidRPr="00863B82">
        <w:rPr>
          <w:rFonts w:ascii="Sakkal Majalla" w:hAnsi="Sakkal Majalla" w:cs="Sakkal Majalla"/>
          <w:color w:val="000000"/>
          <w:sz w:val="32"/>
          <w:szCs w:val="32"/>
        </w:rPr>
        <w:t>by independent and international entities in recent years.</w:t>
      </w:r>
    </w:p>
    <w:p w14:paraId="6470E129" w14:textId="77777777" w:rsidR="00B933AD" w:rsidRPr="00863B82" w:rsidRDefault="00232F0F" w:rsidP="00B933AD">
      <w:pPr>
        <w:pStyle w:val="NormalWeb"/>
        <w:numPr>
          <w:ilvl w:val="0"/>
          <w:numId w:val="82"/>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Continued cooperation with the</w:t>
      </w:r>
      <w:r w:rsidRPr="00863B82">
        <w:rPr>
          <w:rStyle w:val="apple-converted-space"/>
          <w:rFonts w:ascii="Sakkal Majalla" w:eastAsiaTheme="majorEastAsia" w:hAnsi="Sakkal Majalla" w:cs="Sakkal Majalla"/>
          <w:color w:val="000000"/>
          <w:sz w:val="32"/>
          <w:szCs w:val="32"/>
        </w:rPr>
        <w:t> </w:t>
      </w:r>
      <w:r w:rsidRPr="00863B82">
        <w:rPr>
          <w:rStyle w:val="Strong"/>
          <w:rFonts w:ascii="Sakkal Majalla" w:eastAsiaTheme="majorEastAsia" w:hAnsi="Sakkal Majalla" w:cs="Sakkal Majalla"/>
          <w:b w:val="0"/>
          <w:bCs w:val="0"/>
          <w:color w:val="000000"/>
          <w:sz w:val="32"/>
          <w:szCs w:val="32"/>
        </w:rPr>
        <w:t>International Committee of the Red Cross</w:t>
      </w:r>
      <w:r w:rsidRPr="00863B82">
        <w:rPr>
          <w:rFonts w:ascii="Sakkal Majalla" w:hAnsi="Sakkal Majalla" w:cs="Sakkal Majalla"/>
          <w:color w:val="000000"/>
          <w:sz w:val="32"/>
          <w:szCs w:val="32"/>
        </w:rPr>
        <w:t>, foreign ambassadors, and international organizations.</w:t>
      </w:r>
    </w:p>
    <w:p w14:paraId="6F71F99D" w14:textId="77777777" w:rsidR="00B933AD" w:rsidRPr="00863B82" w:rsidRDefault="00232F0F" w:rsidP="00B933AD">
      <w:pPr>
        <w:pStyle w:val="NormalWeb"/>
        <w:numPr>
          <w:ilvl w:val="0"/>
          <w:numId w:val="82"/>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Publishing annual reports by national mechanisms and maintaining effective channels for receiving complaints and conducting private, individual interviews with inmates.</w:t>
      </w:r>
    </w:p>
    <w:p w14:paraId="17BDD649" w14:textId="14ED5210" w:rsidR="00232F0F" w:rsidRPr="00863B82" w:rsidRDefault="00232F0F" w:rsidP="00B933AD">
      <w:pPr>
        <w:pStyle w:val="NormalWeb"/>
        <w:numPr>
          <w:ilvl w:val="0"/>
          <w:numId w:val="82"/>
        </w:numPr>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Receiving observations from treaty bodies and developing legislation in line with international best practices.</w:t>
      </w:r>
    </w:p>
    <w:p w14:paraId="4F3AE764" w14:textId="21CBD879" w:rsidR="00B933AD" w:rsidRPr="00863B82" w:rsidRDefault="00232F0F" w:rsidP="0085624E">
      <w:pPr>
        <w:pStyle w:val="NormalWeb"/>
        <w:jc w:val="lowKashida"/>
        <w:rPr>
          <w:rFonts w:ascii="Sakkal Majalla" w:hAnsi="Sakkal Majalla" w:cs="Sakkal Majalla"/>
          <w:color w:val="000000"/>
          <w:sz w:val="32"/>
          <w:szCs w:val="32"/>
        </w:rPr>
      </w:pPr>
      <w:r w:rsidRPr="00863B82">
        <w:rPr>
          <w:rStyle w:val="Strong"/>
          <w:rFonts w:ascii="Sakkal Majalla" w:eastAsiaTheme="majorEastAsia" w:hAnsi="Sakkal Majalla" w:cs="Sakkal Majalla"/>
          <w:color w:val="000000"/>
          <w:sz w:val="32"/>
          <w:szCs w:val="32"/>
        </w:rPr>
        <w:t>Fifth: National commitment to international principles:</w:t>
      </w:r>
    </w:p>
    <w:p w14:paraId="68D25B53" w14:textId="0281F905"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t>Bahrain affirms that the protection of human dignity is the foundation of all legal and institutional reform, and that its commitment to the Convention against Torture is firm and inseparable from its constitutional and legal framework.</w:t>
      </w:r>
    </w:p>
    <w:p w14:paraId="10C2A886" w14:textId="4924AE34" w:rsidR="00232F0F" w:rsidRPr="00863B82" w:rsidRDefault="00232F0F" w:rsidP="0085624E">
      <w:pPr>
        <w:pStyle w:val="NormalWeb"/>
        <w:jc w:val="lowKashida"/>
        <w:rPr>
          <w:rFonts w:ascii="Sakkal Majalla" w:hAnsi="Sakkal Majalla" w:cs="Sakkal Majalla"/>
          <w:color w:val="000000"/>
          <w:sz w:val="32"/>
          <w:szCs w:val="32"/>
        </w:rPr>
      </w:pPr>
      <w:r w:rsidRPr="00863B82">
        <w:rPr>
          <w:rFonts w:ascii="Sakkal Majalla" w:hAnsi="Sakkal Majalla" w:cs="Sakkal Majalla"/>
          <w:color w:val="000000"/>
          <w:sz w:val="32"/>
          <w:szCs w:val="32"/>
        </w:rPr>
        <w:lastRenderedPageBreak/>
        <w:t>In conclusion, the Kingdom of Bahrain expresses its sincere appreciation to the members of the Committee against Torture for their continuous efforts to promote human rights and support States Parties in fulfilling their obligations. The Kingdom affirms its keenness to benefit from the Committee’s expertise and recommendations, and to continue constructive cooperation and an approach based on dialogue and transparency, in a manner that strengthens the principles of justice and humanity and protects the rights of all individuals without discrimination.</w:t>
      </w:r>
    </w:p>
    <w:p w14:paraId="5AF06DBD" w14:textId="77777777" w:rsidR="002E334D" w:rsidRPr="00863B82" w:rsidRDefault="002E334D" w:rsidP="0085624E">
      <w:pPr>
        <w:bidi w:val="0"/>
        <w:spacing w:before="240" w:after="240"/>
        <w:jc w:val="lowKashida"/>
        <w:rPr>
          <w:rFonts w:ascii="Sakkal Majalla" w:hAnsi="Sakkal Majalla" w:cs="Sakkal Majalla"/>
          <w:sz w:val="32"/>
          <w:szCs w:val="32"/>
        </w:rPr>
      </w:pPr>
    </w:p>
    <w:p w14:paraId="51060F4E" w14:textId="77777777" w:rsidR="002F028F" w:rsidRPr="00863B82" w:rsidRDefault="002F028F" w:rsidP="0085624E">
      <w:pPr>
        <w:bidi w:val="0"/>
        <w:spacing w:before="240" w:after="240"/>
        <w:jc w:val="lowKashida"/>
        <w:rPr>
          <w:rFonts w:ascii="Sakkal Majalla" w:hAnsi="Sakkal Majalla" w:cs="Sakkal Majalla"/>
          <w:sz w:val="32"/>
          <w:szCs w:val="32"/>
        </w:rPr>
      </w:pPr>
    </w:p>
    <w:p w14:paraId="7085F47B" w14:textId="77777777" w:rsidR="002F028F" w:rsidRPr="00863B82" w:rsidRDefault="002F028F" w:rsidP="0085624E">
      <w:pPr>
        <w:bidi w:val="0"/>
        <w:spacing w:before="240" w:after="240"/>
        <w:jc w:val="lowKashida"/>
        <w:rPr>
          <w:rFonts w:ascii="Sakkal Majalla" w:hAnsi="Sakkal Majalla" w:cs="Sakkal Majalla"/>
          <w:sz w:val="32"/>
          <w:szCs w:val="32"/>
        </w:rPr>
      </w:pPr>
    </w:p>
    <w:p w14:paraId="1BD93AAA" w14:textId="77777777" w:rsidR="002F2642" w:rsidRPr="00863B82" w:rsidRDefault="002F2642" w:rsidP="0085624E">
      <w:pPr>
        <w:bidi w:val="0"/>
        <w:spacing w:before="240" w:after="0"/>
        <w:jc w:val="lowKashida"/>
        <w:rPr>
          <w:rFonts w:ascii="Sakkal Majalla" w:hAnsi="Sakkal Majalla" w:cs="Sakkal Majalla"/>
          <w:sz w:val="32"/>
          <w:szCs w:val="32"/>
        </w:rPr>
      </w:pPr>
    </w:p>
    <w:sectPr w:rsidR="002F2642" w:rsidRPr="00863B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409B" w14:textId="77777777" w:rsidR="00683EE7" w:rsidRDefault="00683EE7" w:rsidP="000313D8">
      <w:pPr>
        <w:spacing w:after="0" w:line="240" w:lineRule="auto"/>
      </w:pPr>
      <w:r>
        <w:separator/>
      </w:r>
    </w:p>
  </w:endnote>
  <w:endnote w:type="continuationSeparator" w:id="0">
    <w:p w14:paraId="79C44186" w14:textId="77777777" w:rsidR="00683EE7" w:rsidRDefault="00683EE7" w:rsidP="0003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5102" w14:textId="77777777" w:rsidR="00683EE7" w:rsidRDefault="00683EE7" w:rsidP="000313D8">
      <w:pPr>
        <w:spacing w:after="0" w:line="240" w:lineRule="auto"/>
      </w:pPr>
      <w:r>
        <w:separator/>
      </w:r>
    </w:p>
  </w:footnote>
  <w:footnote w:type="continuationSeparator" w:id="0">
    <w:p w14:paraId="3344DBC2" w14:textId="77777777" w:rsidR="00683EE7" w:rsidRDefault="00683EE7" w:rsidP="00031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4F0"/>
    <w:multiLevelType w:val="multilevel"/>
    <w:tmpl w:val="FC4A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87A06"/>
    <w:multiLevelType w:val="multilevel"/>
    <w:tmpl w:val="3954A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A5597"/>
    <w:multiLevelType w:val="multilevel"/>
    <w:tmpl w:val="AD6A5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525E9"/>
    <w:multiLevelType w:val="hybridMultilevel"/>
    <w:tmpl w:val="2DB49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C2CA0"/>
    <w:multiLevelType w:val="multilevel"/>
    <w:tmpl w:val="80C8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394F18"/>
    <w:multiLevelType w:val="hybridMultilevel"/>
    <w:tmpl w:val="0D526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A6707A"/>
    <w:multiLevelType w:val="multilevel"/>
    <w:tmpl w:val="9C363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725A1"/>
    <w:multiLevelType w:val="multilevel"/>
    <w:tmpl w:val="9178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335B7D"/>
    <w:multiLevelType w:val="hybridMultilevel"/>
    <w:tmpl w:val="30D4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E0F56"/>
    <w:multiLevelType w:val="multilevel"/>
    <w:tmpl w:val="241CB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33D3AC5"/>
    <w:multiLevelType w:val="multilevel"/>
    <w:tmpl w:val="A210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B879BA"/>
    <w:multiLevelType w:val="multilevel"/>
    <w:tmpl w:val="5AA86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E83C83"/>
    <w:multiLevelType w:val="multilevel"/>
    <w:tmpl w:val="53961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414B6C"/>
    <w:multiLevelType w:val="multilevel"/>
    <w:tmpl w:val="4B2A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A25E50"/>
    <w:multiLevelType w:val="multilevel"/>
    <w:tmpl w:val="C4E2B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937684"/>
    <w:multiLevelType w:val="multilevel"/>
    <w:tmpl w:val="DE8AD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9D37687"/>
    <w:multiLevelType w:val="hybridMultilevel"/>
    <w:tmpl w:val="B4F6D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1A6F49"/>
    <w:multiLevelType w:val="multilevel"/>
    <w:tmpl w:val="183AA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4D05EE"/>
    <w:multiLevelType w:val="multilevel"/>
    <w:tmpl w:val="31FE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B20030"/>
    <w:multiLevelType w:val="multilevel"/>
    <w:tmpl w:val="AF02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6004E3"/>
    <w:multiLevelType w:val="multilevel"/>
    <w:tmpl w:val="5C6621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2277640E"/>
    <w:multiLevelType w:val="multilevel"/>
    <w:tmpl w:val="94BA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30A73E8"/>
    <w:multiLevelType w:val="multilevel"/>
    <w:tmpl w:val="BAC25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30D72CD"/>
    <w:multiLevelType w:val="multilevel"/>
    <w:tmpl w:val="D5DE5B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3C441ED"/>
    <w:multiLevelType w:val="multilevel"/>
    <w:tmpl w:val="B3901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66059DE"/>
    <w:multiLevelType w:val="multilevel"/>
    <w:tmpl w:val="B3182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3A1088"/>
    <w:multiLevelType w:val="multilevel"/>
    <w:tmpl w:val="DF847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D2FEE"/>
    <w:multiLevelType w:val="multilevel"/>
    <w:tmpl w:val="E84C2E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27977AEC"/>
    <w:multiLevelType w:val="multilevel"/>
    <w:tmpl w:val="260016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7EF3FC5"/>
    <w:multiLevelType w:val="multilevel"/>
    <w:tmpl w:val="64EE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B23CFF"/>
    <w:multiLevelType w:val="multilevel"/>
    <w:tmpl w:val="91620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B40C6D"/>
    <w:multiLevelType w:val="hybridMultilevel"/>
    <w:tmpl w:val="BC3A7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10B8D"/>
    <w:multiLevelType w:val="hybridMultilevel"/>
    <w:tmpl w:val="B4860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8C53CE"/>
    <w:multiLevelType w:val="multilevel"/>
    <w:tmpl w:val="7C06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15307A"/>
    <w:multiLevelType w:val="hybridMultilevel"/>
    <w:tmpl w:val="0810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AC7F09"/>
    <w:multiLevelType w:val="multilevel"/>
    <w:tmpl w:val="8EC4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7E6AE6"/>
    <w:multiLevelType w:val="multilevel"/>
    <w:tmpl w:val="A942D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8F6F84"/>
    <w:multiLevelType w:val="multilevel"/>
    <w:tmpl w:val="DA489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877597C"/>
    <w:multiLevelType w:val="hybridMultilevel"/>
    <w:tmpl w:val="6BFC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0079F2"/>
    <w:multiLevelType w:val="multilevel"/>
    <w:tmpl w:val="39EA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CE5778"/>
    <w:multiLevelType w:val="hybridMultilevel"/>
    <w:tmpl w:val="AF8E8FCA"/>
    <w:lvl w:ilvl="0" w:tplc="84ECF1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162926"/>
    <w:multiLevelType w:val="multilevel"/>
    <w:tmpl w:val="A7B6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D723B5"/>
    <w:multiLevelType w:val="multilevel"/>
    <w:tmpl w:val="192AA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21B4C6A"/>
    <w:multiLevelType w:val="multilevel"/>
    <w:tmpl w:val="A9D0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2F57A9"/>
    <w:multiLevelType w:val="hybridMultilevel"/>
    <w:tmpl w:val="5BF8C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60888"/>
    <w:multiLevelType w:val="multilevel"/>
    <w:tmpl w:val="EEB4F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C238F3"/>
    <w:multiLevelType w:val="hybridMultilevel"/>
    <w:tmpl w:val="E312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E0186C"/>
    <w:multiLevelType w:val="hybridMultilevel"/>
    <w:tmpl w:val="5FD29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EA56DF"/>
    <w:multiLevelType w:val="multilevel"/>
    <w:tmpl w:val="E2D49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C6751A2"/>
    <w:multiLevelType w:val="multilevel"/>
    <w:tmpl w:val="01E4C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DFA45F0"/>
    <w:multiLevelType w:val="hybridMultilevel"/>
    <w:tmpl w:val="8EC6D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060131"/>
    <w:multiLevelType w:val="multilevel"/>
    <w:tmpl w:val="CEC2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80375B"/>
    <w:multiLevelType w:val="multilevel"/>
    <w:tmpl w:val="ABFED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0F76CC0"/>
    <w:multiLevelType w:val="multilevel"/>
    <w:tmpl w:val="8D82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434CF7"/>
    <w:multiLevelType w:val="multilevel"/>
    <w:tmpl w:val="D1C03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23F0D3C"/>
    <w:multiLevelType w:val="hybridMultilevel"/>
    <w:tmpl w:val="B44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122EBB"/>
    <w:multiLevelType w:val="multilevel"/>
    <w:tmpl w:val="0A142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65675C8"/>
    <w:multiLevelType w:val="multilevel"/>
    <w:tmpl w:val="8B1C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6E7AD3"/>
    <w:multiLevelType w:val="multilevel"/>
    <w:tmpl w:val="6D40C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5863EB"/>
    <w:multiLevelType w:val="hybridMultilevel"/>
    <w:tmpl w:val="0F767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6F1AD9"/>
    <w:multiLevelType w:val="multilevel"/>
    <w:tmpl w:val="677EC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EE53CBC"/>
    <w:multiLevelType w:val="multilevel"/>
    <w:tmpl w:val="832A8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14F68D2"/>
    <w:multiLevelType w:val="hybridMultilevel"/>
    <w:tmpl w:val="1434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DE138B"/>
    <w:multiLevelType w:val="multilevel"/>
    <w:tmpl w:val="C28C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D8004E"/>
    <w:multiLevelType w:val="multilevel"/>
    <w:tmpl w:val="D7DC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87044F"/>
    <w:multiLevelType w:val="hybridMultilevel"/>
    <w:tmpl w:val="0DFCC9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B42B1C"/>
    <w:multiLevelType w:val="hybridMultilevel"/>
    <w:tmpl w:val="1F42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051929"/>
    <w:multiLevelType w:val="multilevel"/>
    <w:tmpl w:val="D3D65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C7214B3"/>
    <w:multiLevelType w:val="hybridMultilevel"/>
    <w:tmpl w:val="9DA41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523B41"/>
    <w:multiLevelType w:val="multilevel"/>
    <w:tmpl w:val="DDA6B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EE76376"/>
    <w:multiLevelType w:val="multilevel"/>
    <w:tmpl w:val="DA22D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FD50A21"/>
    <w:multiLevelType w:val="multilevel"/>
    <w:tmpl w:val="A42E2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22958FE"/>
    <w:multiLevelType w:val="hybridMultilevel"/>
    <w:tmpl w:val="C000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435AD7"/>
    <w:multiLevelType w:val="hybridMultilevel"/>
    <w:tmpl w:val="66A4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0C50DD"/>
    <w:multiLevelType w:val="multilevel"/>
    <w:tmpl w:val="E70A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81A5841"/>
    <w:multiLevelType w:val="multilevel"/>
    <w:tmpl w:val="2272E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84145E"/>
    <w:multiLevelType w:val="hybridMultilevel"/>
    <w:tmpl w:val="09B6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CC5FF6"/>
    <w:multiLevelType w:val="multilevel"/>
    <w:tmpl w:val="596E3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9EC1AF8"/>
    <w:multiLevelType w:val="multilevel"/>
    <w:tmpl w:val="C9EAA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E653722"/>
    <w:multiLevelType w:val="hybridMultilevel"/>
    <w:tmpl w:val="8DD0C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EA2EBE"/>
    <w:multiLevelType w:val="multilevel"/>
    <w:tmpl w:val="D5FCE4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F972160"/>
    <w:multiLevelType w:val="hybridMultilevel"/>
    <w:tmpl w:val="3FC8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3035609">
    <w:abstractNumId w:val="65"/>
  </w:num>
  <w:num w:numId="2" w16cid:durableId="1300189684">
    <w:abstractNumId w:val="28"/>
  </w:num>
  <w:num w:numId="3" w16cid:durableId="377826552">
    <w:abstractNumId w:val="72"/>
  </w:num>
  <w:num w:numId="4" w16cid:durableId="1800997811">
    <w:abstractNumId w:val="39"/>
  </w:num>
  <w:num w:numId="5" w16cid:durableId="1566529394">
    <w:abstractNumId w:val="29"/>
  </w:num>
  <w:num w:numId="6" w16cid:durableId="1719206583">
    <w:abstractNumId w:val="55"/>
  </w:num>
  <w:num w:numId="7" w16cid:durableId="58404995">
    <w:abstractNumId w:val="13"/>
  </w:num>
  <w:num w:numId="8" w16cid:durableId="585577646">
    <w:abstractNumId w:val="0"/>
  </w:num>
  <w:num w:numId="9" w16cid:durableId="2081635047">
    <w:abstractNumId w:val="33"/>
  </w:num>
  <w:num w:numId="10" w16cid:durableId="282731572">
    <w:abstractNumId w:val="6"/>
  </w:num>
  <w:num w:numId="11" w16cid:durableId="1822888909">
    <w:abstractNumId w:val="19"/>
  </w:num>
  <w:num w:numId="12" w16cid:durableId="1832941072">
    <w:abstractNumId w:val="1"/>
  </w:num>
  <w:num w:numId="13" w16cid:durableId="1488011629">
    <w:abstractNumId w:val="10"/>
  </w:num>
  <w:num w:numId="14" w16cid:durableId="1538740024">
    <w:abstractNumId w:val="26"/>
  </w:num>
  <w:num w:numId="15" w16cid:durableId="1332640728">
    <w:abstractNumId w:val="64"/>
  </w:num>
  <w:num w:numId="16" w16cid:durableId="189221143">
    <w:abstractNumId w:val="56"/>
  </w:num>
  <w:num w:numId="17" w16cid:durableId="1594123752">
    <w:abstractNumId w:val="30"/>
  </w:num>
  <w:num w:numId="18" w16cid:durableId="800391461">
    <w:abstractNumId w:val="45"/>
  </w:num>
  <w:num w:numId="19" w16cid:durableId="377094518">
    <w:abstractNumId w:val="36"/>
  </w:num>
  <w:num w:numId="20" w16cid:durableId="813914259">
    <w:abstractNumId w:val="70"/>
  </w:num>
  <w:num w:numId="21" w16cid:durableId="1713456636">
    <w:abstractNumId w:val="4"/>
  </w:num>
  <w:num w:numId="22" w16cid:durableId="1201242025">
    <w:abstractNumId w:val="53"/>
  </w:num>
  <w:num w:numId="23" w16cid:durableId="1759979961">
    <w:abstractNumId w:val="17"/>
  </w:num>
  <w:num w:numId="24" w16cid:durableId="1951665143">
    <w:abstractNumId w:val="18"/>
  </w:num>
  <w:num w:numId="25" w16cid:durableId="158009330">
    <w:abstractNumId w:val="41"/>
  </w:num>
  <w:num w:numId="26" w16cid:durableId="1070225281">
    <w:abstractNumId w:val="2"/>
  </w:num>
  <w:num w:numId="27" w16cid:durableId="1947495771">
    <w:abstractNumId w:val="12"/>
  </w:num>
  <w:num w:numId="28" w16cid:durableId="1751583045">
    <w:abstractNumId w:val="7"/>
  </w:num>
  <w:num w:numId="29" w16cid:durableId="122308664">
    <w:abstractNumId w:val="51"/>
  </w:num>
  <w:num w:numId="30" w16cid:durableId="755639878">
    <w:abstractNumId w:val="43"/>
  </w:num>
  <w:num w:numId="31" w16cid:durableId="10495617">
    <w:abstractNumId w:val="63"/>
  </w:num>
  <w:num w:numId="32" w16cid:durableId="271599449">
    <w:abstractNumId w:val="57"/>
  </w:num>
  <w:num w:numId="33" w16cid:durableId="1483279193">
    <w:abstractNumId w:val="75"/>
  </w:num>
  <w:num w:numId="34" w16cid:durableId="99037662">
    <w:abstractNumId w:val="74"/>
  </w:num>
  <w:num w:numId="35" w16cid:durableId="325669682">
    <w:abstractNumId w:val="25"/>
  </w:num>
  <w:num w:numId="36" w16cid:durableId="1916087715">
    <w:abstractNumId w:val="71"/>
  </w:num>
  <w:num w:numId="37" w16cid:durableId="1123042563">
    <w:abstractNumId w:val="22"/>
  </w:num>
  <w:num w:numId="38" w16cid:durableId="1672291155">
    <w:abstractNumId w:val="80"/>
  </w:num>
  <w:num w:numId="39" w16cid:durableId="1160148328">
    <w:abstractNumId w:val="61"/>
  </w:num>
  <w:num w:numId="40" w16cid:durableId="2128617120">
    <w:abstractNumId w:val="23"/>
  </w:num>
  <w:num w:numId="41" w16cid:durableId="1683824722">
    <w:abstractNumId w:val="54"/>
  </w:num>
  <w:num w:numId="42" w16cid:durableId="1571302866">
    <w:abstractNumId w:val="15"/>
  </w:num>
  <w:num w:numId="43" w16cid:durableId="1497191045">
    <w:abstractNumId w:val="20"/>
  </w:num>
  <w:num w:numId="44" w16cid:durableId="409082697">
    <w:abstractNumId w:val="37"/>
  </w:num>
  <w:num w:numId="45" w16cid:durableId="2028168734">
    <w:abstractNumId w:val="52"/>
  </w:num>
  <w:num w:numId="46" w16cid:durableId="1646399106">
    <w:abstractNumId w:val="48"/>
  </w:num>
  <w:num w:numId="47" w16cid:durableId="695886317">
    <w:abstractNumId w:val="42"/>
  </w:num>
  <w:num w:numId="48" w16cid:durableId="1667049793">
    <w:abstractNumId w:val="24"/>
  </w:num>
  <w:num w:numId="49" w16cid:durableId="1988171430">
    <w:abstractNumId w:val="78"/>
  </w:num>
  <w:num w:numId="50" w16cid:durableId="1024743399">
    <w:abstractNumId w:val="21"/>
  </w:num>
  <w:num w:numId="51" w16cid:durableId="473181952">
    <w:abstractNumId w:val="27"/>
  </w:num>
  <w:num w:numId="52" w16cid:durableId="1210533504">
    <w:abstractNumId w:val="60"/>
  </w:num>
  <w:num w:numId="53" w16cid:durableId="214703688">
    <w:abstractNumId w:val="77"/>
  </w:num>
  <w:num w:numId="54" w16cid:durableId="330254165">
    <w:abstractNumId w:val="9"/>
  </w:num>
  <w:num w:numId="55" w16cid:durableId="1045641177">
    <w:abstractNumId w:val="69"/>
  </w:num>
  <w:num w:numId="56" w16cid:durableId="1053650612">
    <w:abstractNumId w:val="11"/>
  </w:num>
  <w:num w:numId="57" w16cid:durableId="2082825458">
    <w:abstractNumId w:val="59"/>
  </w:num>
  <w:num w:numId="58" w16cid:durableId="1160460728">
    <w:abstractNumId w:val="76"/>
  </w:num>
  <w:num w:numId="59" w16cid:durableId="1254978090">
    <w:abstractNumId w:val="5"/>
  </w:num>
  <w:num w:numId="60" w16cid:durableId="420880302">
    <w:abstractNumId w:val="3"/>
  </w:num>
  <w:num w:numId="61" w16cid:durableId="2008094853">
    <w:abstractNumId w:val="50"/>
  </w:num>
  <w:num w:numId="62" w16cid:durableId="1832797043">
    <w:abstractNumId w:val="44"/>
  </w:num>
  <w:num w:numId="63" w16cid:durableId="236522580">
    <w:abstractNumId w:val="31"/>
  </w:num>
  <w:num w:numId="64" w16cid:durableId="1439518652">
    <w:abstractNumId w:val="16"/>
  </w:num>
  <w:num w:numId="65" w16cid:durableId="2089764321">
    <w:abstractNumId w:val="81"/>
  </w:num>
  <w:num w:numId="66" w16cid:durableId="1107314718">
    <w:abstractNumId w:val="73"/>
  </w:num>
  <w:num w:numId="67" w16cid:durableId="2055614431">
    <w:abstractNumId w:val="40"/>
  </w:num>
  <w:num w:numId="68" w16cid:durableId="1217158381">
    <w:abstractNumId w:val="32"/>
  </w:num>
  <w:num w:numId="69" w16cid:durableId="271321149">
    <w:abstractNumId w:val="47"/>
  </w:num>
  <w:num w:numId="70" w16cid:durableId="1863205404">
    <w:abstractNumId w:val="14"/>
  </w:num>
  <w:num w:numId="71" w16cid:durableId="490144507">
    <w:abstractNumId w:val="67"/>
  </w:num>
  <w:num w:numId="72" w16cid:durableId="1317493630">
    <w:abstractNumId w:val="49"/>
  </w:num>
  <w:num w:numId="73" w16cid:durableId="1725592634">
    <w:abstractNumId w:val="58"/>
  </w:num>
  <w:num w:numId="74" w16cid:durableId="228030810">
    <w:abstractNumId w:val="35"/>
  </w:num>
  <w:num w:numId="75" w16cid:durableId="1005134328">
    <w:abstractNumId w:val="68"/>
  </w:num>
  <w:num w:numId="76" w16cid:durableId="366879501">
    <w:abstractNumId w:val="66"/>
  </w:num>
  <w:num w:numId="77" w16cid:durableId="534125359">
    <w:abstractNumId w:val="79"/>
  </w:num>
  <w:num w:numId="78" w16cid:durableId="382489681">
    <w:abstractNumId w:val="62"/>
  </w:num>
  <w:num w:numId="79" w16cid:durableId="966354804">
    <w:abstractNumId w:val="8"/>
  </w:num>
  <w:num w:numId="80" w16cid:durableId="1997489360">
    <w:abstractNumId w:val="34"/>
  </w:num>
  <w:num w:numId="81" w16cid:durableId="948856233">
    <w:abstractNumId w:val="46"/>
  </w:num>
  <w:num w:numId="82" w16cid:durableId="6950075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EB"/>
    <w:rsid w:val="0002518D"/>
    <w:rsid w:val="00027C86"/>
    <w:rsid w:val="000313D8"/>
    <w:rsid w:val="00045792"/>
    <w:rsid w:val="000523DB"/>
    <w:rsid w:val="00093338"/>
    <w:rsid w:val="000C67C4"/>
    <w:rsid w:val="00152DA5"/>
    <w:rsid w:val="00192AFE"/>
    <w:rsid w:val="001C72F3"/>
    <w:rsid w:val="001C7462"/>
    <w:rsid w:val="001C7713"/>
    <w:rsid w:val="00214488"/>
    <w:rsid w:val="00215982"/>
    <w:rsid w:val="00216521"/>
    <w:rsid w:val="00232F0F"/>
    <w:rsid w:val="00297234"/>
    <w:rsid w:val="002A0DD4"/>
    <w:rsid w:val="002E334D"/>
    <w:rsid w:val="002F028F"/>
    <w:rsid w:val="002F2642"/>
    <w:rsid w:val="0039545F"/>
    <w:rsid w:val="003C3116"/>
    <w:rsid w:val="003F56B7"/>
    <w:rsid w:val="00440BA5"/>
    <w:rsid w:val="00471F00"/>
    <w:rsid w:val="0049185D"/>
    <w:rsid w:val="00515636"/>
    <w:rsid w:val="005259CD"/>
    <w:rsid w:val="00540988"/>
    <w:rsid w:val="0060006D"/>
    <w:rsid w:val="00601128"/>
    <w:rsid w:val="006278C6"/>
    <w:rsid w:val="006651BC"/>
    <w:rsid w:val="0067648D"/>
    <w:rsid w:val="00683EE7"/>
    <w:rsid w:val="006C5D98"/>
    <w:rsid w:val="006D16DF"/>
    <w:rsid w:val="006D52C9"/>
    <w:rsid w:val="006E6B47"/>
    <w:rsid w:val="00713784"/>
    <w:rsid w:val="00750EF3"/>
    <w:rsid w:val="00753555"/>
    <w:rsid w:val="00754B46"/>
    <w:rsid w:val="00793ECC"/>
    <w:rsid w:val="007E5967"/>
    <w:rsid w:val="007F67CA"/>
    <w:rsid w:val="00824922"/>
    <w:rsid w:val="0084582A"/>
    <w:rsid w:val="00852D43"/>
    <w:rsid w:val="0085624E"/>
    <w:rsid w:val="00860BB2"/>
    <w:rsid w:val="00863B82"/>
    <w:rsid w:val="00870F8B"/>
    <w:rsid w:val="00883389"/>
    <w:rsid w:val="00884446"/>
    <w:rsid w:val="008B206C"/>
    <w:rsid w:val="00914558"/>
    <w:rsid w:val="00941E88"/>
    <w:rsid w:val="00943F88"/>
    <w:rsid w:val="0095619B"/>
    <w:rsid w:val="009C18BE"/>
    <w:rsid w:val="009C379A"/>
    <w:rsid w:val="009D7CD8"/>
    <w:rsid w:val="009F7B1F"/>
    <w:rsid w:val="00A10DF0"/>
    <w:rsid w:val="00A41408"/>
    <w:rsid w:val="00A8176C"/>
    <w:rsid w:val="00A945EB"/>
    <w:rsid w:val="00AC276F"/>
    <w:rsid w:val="00AF20B1"/>
    <w:rsid w:val="00B2230D"/>
    <w:rsid w:val="00B40318"/>
    <w:rsid w:val="00B65CBE"/>
    <w:rsid w:val="00B92DA5"/>
    <w:rsid w:val="00B933AD"/>
    <w:rsid w:val="00BA4088"/>
    <w:rsid w:val="00BE7CA5"/>
    <w:rsid w:val="00C44BCC"/>
    <w:rsid w:val="00C4620C"/>
    <w:rsid w:val="00CA348D"/>
    <w:rsid w:val="00CE1012"/>
    <w:rsid w:val="00D05CED"/>
    <w:rsid w:val="00D47C58"/>
    <w:rsid w:val="00D81D2C"/>
    <w:rsid w:val="00D92BCC"/>
    <w:rsid w:val="00DC6B40"/>
    <w:rsid w:val="00DD1A11"/>
    <w:rsid w:val="00DE51F8"/>
    <w:rsid w:val="00E01093"/>
    <w:rsid w:val="00E87118"/>
    <w:rsid w:val="00ED2966"/>
    <w:rsid w:val="00EE66D5"/>
    <w:rsid w:val="00F07768"/>
    <w:rsid w:val="00F6229A"/>
    <w:rsid w:val="00FC4DBE"/>
    <w:rsid w:val="00FF36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8E16"/>
  <w15:chartTrackingRefBased/>
  <w15:docId w15:val="{3998F95D-FF44-4DB2-8F78-0C427B60B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5EB"/>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A945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945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45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45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45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45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45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45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45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5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945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45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45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45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45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45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45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45EB"/>
    <w:rPr>
      <w:rFonts w:eastAsiaTheme="majorEastAsia" w:cstheme="majorBidi"/>
      <w:color w:val="272727" w:themeColor="text1" w:themeTint="D8"/>
    </w:rPr>
  </w:style>
  <w:style w:type="paragraph" w:styleId="Title">
    <w:name w:val="Title"/>
    <w:basedOn w:val="Normal"/>
    <w:next w:val="Normal"/>
    <w:link w:val="TitleChar"/>
    <w:uiPriority w:val="10"/>
    <w:qFormat/>
    <w:rsid w:val="00A945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45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45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45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45EB"/>
    <w:pPr>
      <w:spacing w:before="160"/>
      <w:jc w:val="center"/>
    </w:pPr>
    <w:rPr>
      <w:i/>
      <w:iCs/>
      <w:color w:val="404040" w:themeColor="text1" w:themeTint="BF"/>
    </w:rPr>
  </w:style>
  <w:style w:type="character" w:customStyle="1" w:styleId="QuoteChar">
    <w:name w:val="Quote Char"/>
    <w:basedOn w:val="DefaultParagraphFont"/>
    <w:link w:val="Quote"/>
    <w:uiPriority w:val="29"/>
    <w:rsid w:val="00A945EB"/>
    <w:rPr>
      <w:i/>
      <w:iCs/>
      <w:color w:val="404040" w:themeColor="text1" w:themeTint="BF"/>
    </w:rPr>
  </w:style>
  <w:style w:type="paragraph" w:styleId="ListParagraph">
    <w:name w:val="List Paragraph"/>
    <w:basedOn w:val="Normal"/>
    <w:uiPriority w:val="34"/>
    <w:qFormat/>
    <w:rsid w:val="00A945EB"/>
    <w:pPr>
      <w:ind w:left="720"/>
      <w:contextualSpacing/>
    </w:pPr>
  </w:style>
  <w:style w:type="character" w:styleId="IntenseEmphasis">
    <w:name w:val="Intense Emphasis"/>
    <w:basedOn w:val="DefaultParagraphFont"/>
    <w:uiPriority w:val="21"/>
    <w:qFormat/>
    <w:rsid w:val="00A945EB"/>
    <w:rPr>
      <w:i/>
      <w:iCs/>
      <w:color w:val="0F4761" w:themeColor="accent1" w:themeShade="BF"/>
    </w:rPr>
  </w:style>
  <w:style w:type="paragraph" w:styleId="IntenseQuote">
    <w:name w:val="Intense Quote"/>
    <w:basedOn w:val="Normal"/>
    <w:next w:val="Normal"/>
    <w:link w:val="IntenseQuoteChar"/>
    <w:uiPriority w:val="30"/>
    <w:qFormat/>
    <w:rsid w:val="00A945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45EB"/>
    <w:rPr>
      <w:i/>
      <w:iCs/>
      <w:color w:val="0F4761" w:themeColor="accent1" w:themeShade="BF"/>
    </w:rPr>
  </w:style>
  <w:style w:type="character" w:styleId="IntenseReference">
    <w:name w:val="Intense Reference"/>
    <w:basedOn w:val="DefaultParagraphFont"/>
    <w:uiPriority w:val="32"/>
    <w:qFormat/>
    <w:rsid w:val="00A945EB"/>
    <w:rPr>
      <w:b/>
      <w:bCs/>
      <w:smallCaps/>
      <w:color w:val="0F4761" w:themeColor="accent1" w:themeShade="BF"/>
      <w:spacing w:val="5"/>
    </w:rPr>
  </w:style>
  <w:style w:type="paragraph" w:styleId="NormalWeb">
    <w:name w:val="Normal (Web)"/>
    <w:basedOn w:val="Normal"/>
    <w:uiPriority w:val="99"/>
    <w:unhideWhenUsed/>
    <w:rsid w:val="000523D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23DB"/>
    <w:rPr>
      <w:b/>
      <w:bCs/>
    </w:rPr>
  </w:style>
  <w:style w:type="paragraph" w:styleId="Header">
    <w:name w:val="header"/>
    <w:basedOn w:val="Normal"/>
    <w:link w:val="HeaderChar"/>
    <w:uiPriority w:val="99"/>
    <w:unhideWhenUsed/>
    <w:rsid w:val="000313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3D8"/>
    <w:rPr>
      <w:rFonts w:eastAsiaTheme="minorEastAsia"/>
      <w:kern w:val="0"/>
      <w:sz w:val="22"/>
      <w:szCs w:val="22"/>
      <w14:ligatures w14:val="none"/>
    </w:rPr>
  </w:style>
  <w:style w:type="paragraph" w:styleId="Footer">
    <w:name w:val="footer"/>
    <w:basedOn w:val="Normal"/>
    <w:link w:val="FooterChar"/>
    <w:uiPriority w:val="99"/>
    <w:unhideWhenUsed/>
    <w:rsid w:val="000313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3D8"/>
    <w:rPr>
      <w:rFonts w:eastAsiaTheme="minorEastAsia"/>
      <w:kern w:val="0"/>
      <w:sz w:val="22"/>
      <w:szCs w:val="22"/>
      <w14:ligatures w14:val="none"/>
    </w:rPr>
  </w:style>
  <w:style w:type="table" w:styleId="LightList-Accent2">
    <w:name w:val="Light List Accent 2"/>
    <w:basedOn w:val="TableNormal"/>
    <w:uiPriority w:val="61"/>
    <w:unhideWhenUsed/>
    <w:rsid w:val="00232F0F"/>
    <w:pPr>
      <w:spacing w:after="0" w:line="240" w:lineRule="auto"/>
    </w:pPr>
    <w:rPr>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character" w:customStyle="1" w:styleId="apple-converted-space">
    <w:name w:val="apple-converted-space"/>
    <w:basedOn w:val="DefaultParagraphFont"/>
    <w:rsid w:val="00232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FA57C9FAB45A42AB7F0F2F29DA9B83" ma:contentTypeVersion="47" ma:contentTypeDescription="Create a new document." ma:contentTypeScope="" ma:versionID="5641547cb561e588171f6763cb674175">
  <xsd:schema xmlns:xsd="http://www.w3.org/2001/XMLSchema" xmlns:xs="http://www.w3.org/2001/XMLSchema" xmlns:p="http://schemas.microsoft.com/office/2006/metadata/properties" xmlns:ns2="11a6fe0c-d8de-4390-afb3-d9c7c54181f0" xmlns:ns3="985ec44e-1bab-4c0b-9df0-6ba128686fc9" xmlns:ns5="dfe5883a-cdd3-42a9-8146-0edb2232418f" targetNamespace="http://schemas.microsoft.com/office/2006/metadata/properties" ma:root="true" ma:fieldsID="5b567a3b683ad13b079b86c7836dd494" ns2:_="" ns3:_="" ns5:_="">
    <xsd:import namespace="11a6fe0c-d8de-4390-afb3-d9c7c54181f0"/>
    <xsd:import namespace="985ec44e-1bab-4c0b-9df0-6ba128686fc9"/>
    <xsd:import namespace="dfe5883a-cdd3-42a9-8146-0edb2232418f"/>
    <xsd:element name="properties">
      <xsd:complexType>
        <xsd:sequence>
          <xsd:element name="documentManagement">
            <xsd:complexType>
              <xsd:all>
                <xsd:element ref="ns2:Country" minOccurs="0"/>
                <xsd:element ref="ns3:Date_x0020_Received" minOccurs="0"/>
                <xsd:element ref="ns3:Date_x0020_Sent" minOccurs="0"/>
                <xsd:element ref="ns3:Document_x0020_Date" minOccurs="0"/>
                <xsd:element ref="ns3:Document_x0020_Type" minOccurs="0"/>
                <xsd:element ref="ns2:Donor" minOccurs="0"/>
                <xsd:element ref="ns2:Field_x0020_Office" minOccurs="0"/>
                <xsd:element ref="ns3:UN_x0020_Official_x0020_Language" minOccurs="0"/>
                <xsd:element ref="ns3:Linked_x0020_Records" minOccurs="0"/>
                <xsd:element ref="ns2:Meeting" minOccurs="0"/>
                <xsd:element ref="ns3:TaxCatchAll" minOccurs="0"/>
                <xsd:element ref="ns3:Personal_x0020_Information_x0020__x0028_PII_x0029_" minOccurs="0"/>
                <xsd:element ref="ns2:Project_x0020_Name" minOccurs="0"/>
                <xsd:element ref="ns2:Report_x0020_Type" minOccurs="0"/>
                <xsd:element ref="ns3:Security_x0020_Level" minOccurs="0"/>
                <xsd:element ref="ns2:Session" minOccurs="0"/>
                <xsd:element ref="ns2:Thematic_x0020_Area" minOccurs="0"/>
                <xsd:element ref="ns2:Treaty_x0020_Body" minOccurs="0"/>
                <xsd:element ref="ns2:UD_x0020_Added_x0020_By" minOccurs="0"/>
                <xsd:element ref="ns2:UD_x0020_Added_x0020_On" minOccurs="0"/>
                <xsd:element ref="ns2:UD_x0020_Modified_x0020_By" minOccurs="0"/>
                <xsd:element ref="ns2:UD_x0020_Modified_x0020_On" minOccurs="0"/>
                <xsd:element ref="ns2:UD_x0020_Office_x0020_of_x0020_Origin" minOccurs="0"/>
                <xsd:element ref="ns2:Working_x0020_Group" minOccurs="0"/>
                <xsd:element ref="ns5:MediaServiceMetadata" minOccurs="0"/>
                <xsd:element ref="ns5:MediaServiceFastMetadata" minOccurs="0"/>
                <xsd:element ref="ns5:MediaServiceDateTaken" minOccurs="0"/>
                <xsd:element ref="ns5:MediaLengthInSeconds" minOccurs="0"/>
                <xsd:element ref="ns2:SharedWithUsers" minOccurs="0"/>
                <xsd:element ref="ns2:SharedWithDetails"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lcf76f155ced4ddcb4097134ff3c332f" minOccurs="0"/>
                <xsd:element ref="ns5:MediaServiceObjectDetectorVersions" minOccurs="0"/>
                <xsd:element ref="ns5:MediaServiceSearchPropertie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6fe0c-d8de-4390-afb3-d9c7c54181f0" elementFormDefault="qualified">
    <xsd:import namespace="http://schemas.microsoft.com/office/2006/documentManagement/types"/>
    <xsd:import namespace="http://schemas.microsoft.com/office/infopath/2007/PartnerControls"/>
    <xsd:element name="Country" ma:index="8" nillable="true" ma:displayName="Country" ma:internalName="Country">
      <xsd:simpleType>
        <xsd:restriction base="dms:Text">
          <xsd:maxLength value="255"/>
        </xsd:restriction>
      </xsd:simpleType>
    </xsd:element>
    <xsd:element name="Donor" ma:index="13" nillable="true" ma:displayName="Donor" ma:internalName="Donor">
      <xsd:simpleType>
        <xsd:restriction base="dms:Text">
          <xsd:maxLength value="255"/>
        </xsd:restriction>
      </xsd:simpleType>
    </xsd:element>
    <xsd:element name="Field_x0020_Office" ma:index="14" nillable="true" ma:displayName="Field Office" ma:internalName="Field_x0020_Office">
      <xsd:simpleType>
        <xsd:restriction base="dms:Text">
          <xsd:maxLength value="255"/>
        </xsd:restriction>
      </xsd:simpleType>
    </xsd:element>
    <xsd:element name="Meeting" ma:index="17" nillable="true" ma:displayName="Meeting" ma:internalName="Meeting">
      <xsd:simpleType>
        <xsd:restriction base="dms:Text">
          <xsd:maxLength value="255"/>
        </xsd:restriction>
      </xsd:simpleType>
    </xsd:element>
    <xsd:element name="Project_x0020_Name" ma:index="20" nillable="true" ma:displayName="Project Name" ma:internalName="Project_x0020_Name">
      <xsd:simpleType>
        <xsd:restriction base="dms:Text">
          <xsd:maxLength value="255"/>
        </xsd:restriction>
      </xsd:simpleType>
    </xsd:element>
    <xsd:element name="Report_x0020_Type" ma:index="21" nillable="true" ma:displayName="Report Type" ma:internalName="Report_x0020_Type">
      <xsd:simpleType>
        <xsd:restriction base="dms:Text">
          <xsd:maxLength value="255"/>
        </xsd:restriction>
      </xsd:simpleType>
    </xsd:element>
    <xsd:element name="Session" ma:index="23" nillable="true" ma:displayName="Session" ma:internalName="Session">
      <xsd:simpleType>
        <xsd:restriction base="dms:Text">
          <xsd:maxLength value="255"/>
        </xsd:restriction>
      </xsd:simpleType>
    </xsd:element>
    <xsd:element name="Thematic_x0020_Area" ma:index="24" nillable="true" ma:displayName="Thematic Area" ma:internalName="Thematic_x0020_Area">
      <xsd:simpleType>
        <xsd:restriction base="dms:Text">
          <xsd:maxLength value="255"/>
        </xsd:restriction>
      </xsd:simpleType>
    </xsd:element>
    <xsd:element name="Treaty_x0020_Body" ma:index="25" nillable="true" ma:displayName="Treaty Body" ma:internalName="Treaty_x0020_Body">
      <xsd:simpleType>
        <xsd:restriction base="dms:Text">
          <xsd:maxLength value="255"/>
        </xsd:restriction>
      </xsd:simpleType>
    </xsd:element>
    <xsd:element name="UD_x0020_Added_x0020_By" ma:index="26" nillable="true" ma:displayName="UD Added By" ma:internalName="UD_x0020_Added_x0020_By">
      <xsd:simpleType>
        <xsd:restriction base="dms:Text">
          <xsd:maxLength value="255"/>
        </xsd:restriction>
      </xsd:simpleType>
    </xsd:element>
    <xsd:element name="UD_x0020_Added_x0020_On" ma:index="27" nillable="true" ma:displayName="UD Added On" ma:format="DateOnly" ma:internalName="UD_x0020_Added_x0020_On">
      <xsd:simpleType>
        <xsd:restriction base="dms:DateTime"/>
      </xsd:simpleType>
    </xsd:element>
    <xsd:element name="UD_x0020_Modified_x0020_By" ma:index="28" nillable="true" ma:displayName="UD Modified By" ma:internalName="UD_x0020_Modified_x0020_By">
      <xsd:simpleType>
        <xsd:restriction base="dms:Text">
          <xsd:maxLength value="255"/>
        </xsd:restriction>
      </xsd:simpleType>
    </xsd:element>
    <xsd:element name="UD_x0020_Modified_x0020_On" ma:index="29" nillable="true" ma:displayName="UD Modified On" ma:format="DateOnly" ma:internalName="UD_x0020_Modified_x0020_On">
      <xsd:simpleType>
        <xsd:restriction base="dms:DateTime"/>
      </xsd:simpleType>
    </xsd:element>
    <xsd:element name="UD_x0020_Office_x0020_of_x0020_Origin" ma:index="30" nillable="true" ma:displayName="UD Office of Origin" ma:internalName="UD_x0020_Office_x0020_of_x0020_Origin">
      <xsd:simpleType>
        <xsd:restriction base="dms:Text">
          <xsd:maxLength value="255"/>
        </xsd:restriction>
      </xsd:simpleType>
    </xsd:element>
    <xsd:element name="Working_x0020_Group" ma:index="31" nillable="true" ma:displayName="Working Group" ma:internalName="Working_x0020_Group">
      <xsd:simpleType>
        <xsd:restriction base="dms:Text">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Date_x0020_Received" ma:index="9" nillable="true" ma:displayName="Date Received" ma:default="[today]" ma:format="DateOnly" ma:internalName="Date_x0020_Received">
      <xsd:simpleType>
        <xsd:restriction base="dms:DateTime"/>
      </xsd:simpleType>
    </xsd:element>
    <xsd:element name="Date_x0020_Sent" ma:index="10" nillable="true" ma:displayName="Date Sent" ma:default="[today]" ma:format="DateOnly" ma:internalName="Date_x0020_Sent">
      <xsd:simpleType>
        <xsd:restriction base="dms:DateTime"/>
      </xsd:simpleType>
    </xsd:element>
    <xsd:element name="Document_x0020_Date" ma:index="11" nillable="true" ma:displayName="Document Date" ma:default="[today]" ma:description="The date when the file was drafted" ma:format="DateOnly" ma:internalName="Document_x0020_Date">
      <xsd:simpleType>
        <xsd:restriction base="dms:DateTime"/>
      </xsd:simpleType>
    </xsd:element>
    <xsd:element name="Document_x0020_Type" ma:index="12" nillable="true" ma:displayName="Document Type" ma:default="UN others" ma:format="Dropdown" ma:internalName="Document_x0020_Type">
      <xsd:simpleType>
        <xsd:restriction base="dms:Choice">
          <xsd:enumeration value="Code Cable"/>
          <xsd:enumeration value="Facsimile"/>
          <xsd:enumeration value="Form"/>
          <xsd:enumeration value="Letter"/>
          <xsd:enumeration value="Memorandum"/>
          <xsd:enumeration value="Note"/>
          <xsd:enumeration value="Note verbale"/>
          <xsd:enumeration value="Report"/>
          <xsd:enumeration value="Slip"/>
          <xsd:enumeration value="UN others"/>
          <xsd:enumeration value="Non-UN"/>
        </xsd:restriction>
      </xsd:simpleType>
    </xsd:element>
    <xsd:element name="UN_x0020_Official_x0020_Language" ma:index="15" nillable="true" ma:displayName="Language (UN's Official)" ma:default="English" ma:format="Dropdown" ma:internalName="UN_x0020_Official_x0020_Language">
      <xsd:simpleType>
        <xsd:restriction base="dms:Choice">
          <xsd:enumeration value="Arabic"/>
          <xsd:enumeration value="Chinese"/>
          <xsd:enumeration value="English"/>
          <xsd:enumeration value="French"/>
          <xsd:enumeration value="Russian"/>
          <xsd:enumeration value="Spanish"/>
        </xsd:restriction>
      </xsd:simpleType>
    </xsd:element>
    <xsd:element name="Linked_x0020_Records" ma:index="16" nillable="true" ma:displayName="Linked Records" ma:format="Hyperlink" ma:internalName="Linked_x0020_Records">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18" nillable="true" ma:displayName="Taxonomy Catch All Column" ma:hidden="true" ma:list="{edcab123-23af-4b97-b88d-ffdc823631e7}" ma:internalName="TaxCatchAll" ma:showField="CatchAllData" ma:web="11a6fe0c-d8de-4390-afb3-d9c7c54181f0">
      <xsd:complexType>
        <xsd:complexContent>
          <xsd:extension base="dms:MultiChoiceLookup">
            <xsd:sequence>
              <xsd:element name="Value" type="dms:Lookup" maxOccurs="unbounded" minOccurs="0" nillable="true"/>
            </xsd:sequence>
          </xsd:extension>
        </xsd:complexContent>
      </xsd:complexType>
    </xsd:element>
    <xsd:element name="Personal_x0020_Information_x0020__x0028_PII_x0029_" ma:index="19" nillable="true" ma:displayName="Personal Information (PII)" ma:default="0" ma:description="This field indicates whether the file contains Personal Information" ma:internalName="Personal_x0020_Information_x0020__x0028_PII_x0029_">
      <xsd:simpleType>
        <xsd:restriction base="dms:Boolean"/>
      </xsd:simpleType>
    </xsd:element>
    <xsd:element name="Security_x0020_Level" ma:index="22" nillable="true" ma:displayName="Security Level" ma:default="Unclassified" ma:format="RadioButtons" ma:internalName="Security_x0020_Level">
      <xsd:simpleType>
        <xsd:restriction base="dms:Choice">
          <xsd:enumeration value="Unclassified"/>
          <xsd:enumeration value="Confidential"/>
          <xsd:enumeration value="Strictly Confidential"/>
        </xsd:restriction>
      </xsd:simpleType>
    </xsd:element>
  </xsd:schema>
  <xsd:schema xmlns:xsd="http://www.w3.org/2001/XMLSchema" xmlns:xs="http://www.w3.org/2001/XMLSchema" xmlns:dms="http://schemas.microsoft.com/office/2006/documentManagement/types" xmlns:pc="http://schemas.microsoft.com/office/infopath/2007/PartnerControls" targetNamespace="dfe5883a-cdd3-42a9-8146-0edb2232418f" elementFormDefault="qualified">
    <xsd:import namespace="http://schemas.microsoft.com/office/2006/documentManagement/types"/>
    <xsd:import namespace="http://schemas.microsoft.com/office/infopath/2007/PartnerControls"/>
    <xsd:element name="MediaServiceMetadata" ma:index="35" nillable="true" ma:displayName="MediaServiceMetadata" ma:hidden="true" ma:internalName="MediaServiceMetadata" ma:readOnly="true">
      <xsd:simpleType>
        <xsd:restriction base="dms:Note"/>
      </xsd:simpleType>
    </xsd:element>
    <xsd:element name="MediaServiceFastMetadata" ma:index="36" nillable="true" ma:displayName="MediaServiceFastMetadata" ma:hidden="true" ma:internalName="MediaServiceFastMetadata" ma:readOnly="true">
      <xsd:simpleType>
        <xsd:restriction base="dms:Note"/>
      </xsd:simpleType>
    </xsd:element>
    <xsd:element name="MediaServiceDateTaken" ma:index="37" nillable="true" ma:displayName="MediaServiceDateTaken" ma:hidden="true" ma:internalName="MediaServiceDateTake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ServiceOCR" ma:index="43" nillable="true" ma:displayName="Extracted Text" ma:internalName="MediaServiceOCR" ma:readOnly="true">
      <xsd:simpleType>
        <xsd:restriction base="dms:Note">
          <xsd:maxLength value="255"/>
        </xsd:restriction>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9" nillable="true" ma:displayName="MediaServiceSearchProperties" ma:hidden="true" ma:internalName="MediaServiceSearchProperties" ma:readOnly="true">
      <xsd:simpleType>
        <xsd:restriction base="dms:Note"/>
      </xsd:simpleType>
    </xsd:element>
    <xsd:element name="MediaServiceLocation" ma:index="50"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3"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32" ma:displayName="Subject"/>
        <xsd:element ref="dc:description" minOccurs="0" maxOccurs="1"/>
        <xsd:element name="keywords" minOccurs="0" maxOccurs="1" type="xsd:string" ma:index="3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Date xmlns="985ec44e-1bab-4c0b-9df0-6ba128686fc9">2025-11-21T14:41:28+00:00</Document_x0020_Date>
    <lcf76f155ced4ddcb4097134ff3c332f xmlns="dfe5883a-cdd3-42a9-8146-0edb2232418f">
      <Terms xmlns="http://schemas.microsoft.com/office/infopath/2007/PartnerControls"/>
    </lcf76f155ced4ddcb4097134ff3c332f>
    <Donor xmlns="11a6fe0c-d8de-4390-afb3-d9c7c54181f0" xsi:nil="true"/>
    <Report_x0020_Type xmlns="11a6fe0c-d8de-4390-afb3-d9c7c54181f0" xsi:nil="true"/>
    <Field_x0020_Office xmlns="11a6fe0c-d8de-4390-afb3-d9c7c54181f0" xsi:nil="true"/>
    <Document_x0020_Type xmlns="985ec44e-1bab-4c0b-9df0-6ba128686fc9">UN others</Document_x0020_Type>
    <UD_x0020_Added_x0020_On xmlns="11a6fe0c-d8de-4390-afb3-d9c7c54181f0" xsi:nil="true"/>
    <UD_x0020_Modified_x0020_By xmlns="11a6fe0c-d8de-4390-afb3-d9c7c54181f0" xsi:nil="true"/>
    <TaxCatchAll xmlns="985ec44e-1bab-4c0b-9df0-6ba128686fc9" xsi:nil="true"/>
    <UD_x0020_Modified_x0020_On xmlns="11a6fe0c-d8de-4390-afb3-d9c7c54181f0" xsi:nil="true"/>
    <Working_x0020_Group xmlns="11a6fe0c-d8de-4390-afb3-d9c7c54181f0" xsi:nil="true"/>
    <Thematic_x0020_Area xmlns="11a6fe0c-d8de-4390-afb3-d9c7c54181f0" xsi:nil="true"/>
    <Project_x0020_Name xmlns="11a6fe0c-d8de-4390-afb3-d9c7c54181f0" xsi:nil="true"/>
    <UD_x0020_Added_x0020_By xmlns="11a6fe0c-d8de-4390-afb3-d9c7c54181f0" xsi:nil="true"/>
    <Date_x0020_Sent xmlns="985ec44e-1bab-4c0b-9df0-6ba128686fc9">2025-11-21T14:41:28+00:00</Date_x0020_Sent>
    <Personal_x0020_Information_x0020__x0028_PII_x0029_ xmlns="985ec44e-1bab-4c0b-9df0-6ba128686fc9">false</Personal_x0020_Information_x0020__x0028_PII_x0029_>
    <Session xmlns="11a6fe0c-d8de-4390-afb3-d9c7c54181f0" xsi:nil="true"/>
    <Date_x0020_Received xmlns="985ec44e-1bab-4c0b-9df0-6ba128686fc9">2025-11-21T14:41:28+00:00</Date_x0020_Received>
    <Meeting xmlns="11a6fe0c-d8de-4390-afb3-d9c7c54181f0" xsi:nil="true"/>
    <Country xmlns="11a6fe0c-d8de-4390-afb3-d9c7c54181f0" xsi:nil="true"/>
    <Linked_x0020_Records xmlns="985ec44e-1bab-4c0b-9df0-6ba128686fc9">
      <Url xsi:nil="true"/>
      <Description xsi:nil="true"/>
    </Linked_x0020_Records>
    <UD_x0020_Office_x0020_of_x0020_Origin xmlns="11a6fe0c-d8de-4390-afb3-d9c7c54181f0" xsi:nil="true"/>
    <Security_x0020_Level xmlns="985ec44e-1bab-4c0b-9df0-6ba128686fc9">Unclassified</Security_x0020_Level>
    <UN_x0020_Official_x0020_Language xmlns="985ec44e-1bab-4c0b-9df0-6ba128686fc9">English</UN_x0020_Official_x0020_Language>
    <Treaty_x0020_Body xmlns="11a6fe0c-d8de-4390-afb3-d9c7c54181f0" xsi:nil="true"/>
  </documentManagement>
</p:properties>
</file>

<file path=customXml/itemProps1.xml><?xml version="1.0" encoding="utf-8"?>
<ds:datastoreItem xmlns:ds="http://schemas.openxmlformats.org/officeDocument/2006/customXml" ds:itemID="{F7C263DB-0258-4D3C-9E57-798FE6AB1DFA}">
  <ds:schemaRefs>
    <ds:schemaRef ds:uri="http://schemas.openxmlformats.org/officeDocument/2006/bibliography"/>
  </ds:schemaRefs>
</ds:datastoreItem>
</file>

<file path=customXml/itemProps2.xml><?xml version="1.0" encoding="utf-8"?>
<ds:datastoreItem xmlns:ds="http://schemas.openxmlformats.org/officeDocument/2006/customXml" ds:itemID="{75B32744-D421-49A2-AF67-0EE2E5DF5933}"/>
</file>

<file path=customXml/itemProps3.xml><?xml version="1.0" encoding="utf-8"?>
<ds:datastoreItem xmlns:ds="http://schemas.openxmlformats.org/officeDocument/2006/customXml" ds:itemID="{6CB49E72-E588-4820-BD8F-D2E7F0238810}"/>
</file>

<file path=customXml/itemProps4.xml><?xml version="1.0" encoding="utf-8"?>
<ds:datastoreItem xmlns:ds="http://schemas.openxmlformats.org/officeDocument/2006/customXml" ds:itemID="{70345008-FEFA-4B9F-B1A8-975C9C4B5B34}"/>
</file>

<file path=docProps/app.xml><?xml version="1.0" encoding="utf-8"?>
<Properties xmlns="http://schemas.openxmlformats.org/officeDocument/2006/extended-properties" xmlns:vt="http://schemas.openxmlformats.org/officeDocument/2006/docPropsVTypes">
  <Template>Normal</Template>
  <TotalTime>80</TotalTime>
  <Pages>127</Pages>
  <Words>31547</Words>
  <Characters>187395</Characters>
  <Application>Microsoft Office Word</Application>
  <DocSecurity>0</DocSecurity>
  <Lines>6045</Lines>
  <Paragraphs>2880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Shumool Ahmed Albuainain</dc:creator>
  <cp:keywords/>
  <dc:description/>
  <cp:lastModifiedBy>فاطمة الدوسري</cp:lastModifiedBy>
  <cp:revision>25</cp:revision>
  <dcterms:created xsi:type="dcterms:W3CDTF">2025-11-20T08:43:00Z</dcterms:created>
  <dcterms:modified xsi:type="dcterms:W3CDTF">2025-11-21T11:54:00Z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fe3d7e8-5ed7-4de9-b4ce-90d42b7c461d_Enabled">
    <vt:lpwstr>true</vt:lpwstr>
  </property>
  <property fmtid="{D5CDD505-2E9C-101B-9397-08002B2CF9AE}" pid="3" name="MSIP_Label_7fe3d7e8-5ed7-4de9-b4ce-90d42b7c461d_SetDate">
    <vt:lpwstr>2025-11-19T14:36:22Z</vt:lpwstr>
  </property>
  <property fmtid="{D5CDD505-2E9C-101B-9397-08002B2CF9AE}" pid="4" name="MSIP_Label_7fe3d7e8-5ed7-4de9-b4ce-90d42b7c461d_Method">
    <vt:lpwstr>Standard</vt:lpwstr>
  </property>
  <property fmtid="{D5CDD505-2E9C-101B-9397-08002B2CF9AE}" pid="5" name="MSIP_Label_7fe3d7e8-5ed7-4de9-b4ce-90d42b7c461d_Name">
    <vt:lpwstr>Public</vt:lpwstr>
  </property>
  <property fmtid="{D5CDD505-2E9C-101B-9397-08002B2CF9AE}" pid="6" name="MSIP_Label_7fe3d7e8-5ed7-4de9-b4ce-90d42b7c461d_SiteId">
    <vt:lpwstr>c1fc1632-dc8c-4c24-a4ed-57c57889ba61</vt:lpwstr>
  </property>
  <property fmtid="{D5CDD505-2E9C-101B-9397-08002B2CF9AE}" pid="7" name="MSIP_Label_7fe3d7e8-5ed7-4de9-b4ce-90d42b7c461d_ActionId">
    <vt:lpwstr>8c1c1071-e40f-4ec2-b731-3fb829cb49e0</vt:lpwstr>
  </property>
  <property fmtid="{D5CDD505-2E9C-101B-9397-08002B2CF9AE}" pid="8" name="MSIP_Label_7fe3d7e8-5ed7-4de9-b4ce-90d42b7c461d_ContentBits">
    <vt:lpwstr>0</vt:lpwstr>
  </property>
  <property fmtid="{D5CDD505-2E9C-101B-9397-08002B2CF9AE}" pid="9" name="MSIP_Label_7fe3d7e8-5ed7-4de9-b4ce-90d42b7c461d_Tag">
    <vt:lpwstr>10, 3, 0, 1</vt:lpwstr>
  </property>
  <property fmtid="{D5CDD505-2E9C-101B-9397-08002B2CF9AE}" pid="10" name="ContentTypeId">
    <vt:lpwstr>0x010100A7FA57C9FAB45A42AB7F0F2F29DA9B83</vt:lpwstr>
  </property>
</Properties>
</file>